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7"/>
      </w:tblGrid>
      <w:tr w:rsidR="3951D526" w:rsidTr="1997D739" w14:paraId="49039BA2">
        <w:trPr>
          <w:trHeight w:val="285"/>
        </w:trPr>
        <w:tc>
          <w:tcPr>
            <w:tcW w:w="9285" w:type="dxa"/>
            <w:gridSpan w:val="5"/>
            <w:tcMar>
              <w:left w:w="105" w:type="dxa"/>
              <w:right w:w="105" w:type="dxa"/>
            </w:tcMar>
            <w:vAlign w:val="top"/>
          </w:tcPr>
          <w:p w:rsidR="3951D526" w:rsidP="3951D526" w:rsidRDefault="3951D526" w14:paraId="6224A540" w14:textId="04B8A707">
            <w:pPr>
              <w:spacing w:line="259" w:lineRule="auto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51D526" w:rsidR="3951D52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[School Name]</w:t>
            </w:r>
          </w:p>
        </w:tc>
      </w:tr>
      <w:tr w:rsidR="3951D526" w:rsidTr="1997D739" w14:paraId="4AB7806A">
        <w:trPr>
          <w:trHeight w:val="285"/>
        </w:trPr>
        <w:tc>
          <w:tcPr>
            <w:tcW w:w="9285" w:type="dxa"/>
            <w:gridSpan w:val="5"/>
            <w:tcMar>
              <w:left w:w="105" w:type="dxa"/>
              <w:right w:w="105" w:type="dxa"/>
            </w:tcMar>
            <w:vAlign w:val="top"/>
          </w:tcPr>
          <w:p w:rsidR="3951D526" w:rsidP="1997D739" w:rsidRDefault="3951D526" w14:paraId="52B44873" w14:textId="0BF0F944">
            <w:pPr>
              <w:spacing w:line="259" w:lineRule="auto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997D739" w:rsidR="2B384B5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Waivers</w:t>
            </w:r>
          </w:p>
        </w:tc>
      </w:tr>
      <w:tr w:rsidR="3951D526" w:rsidTr="1997D739" w14:paraId="10D3E727">
        <w:trPr>
          <w:trHeight w:val="540"/>
        </w:trPr>
        <w:tc>
          <w:tcPr>
            <w:tcW w:w="1857" w:type="dxa"/>
            <w:tcMar>
              <w:left w:w="105" w:type="dxa"/>
              <w:right w:w="105" w:type="dxa"/>
            </w:tcMar>
            <w:vAlign w:val="top"/>
          </w:tcPr>
          <w:p w:rsidR="3951D526" w:rsidP="3951D526" w:rsidRDefault="3951D526" w14:paraId="5153C60D" w14:textId="6799FC31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951D526" w:rsidR="3951D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Policy Number: </w:t>
            </w:r>
          </w:p>
          <w:p w:rsidR="3951D526" w:rsidP="3951D526" w:rsidRDefault="3951D526" w14:paraId="3ED38CCA" w14:textId="4EC8DF3C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951D526" w:rsidR="3951D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</w:t>
            </w:r>
            <w:r w:rsidRPr="3951D526" w:rsidR="5FCC3CE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100</w:t>
            </w:r>
          </w:p>
        </w:tc>
        <w:tc>
          <w:tcPr>
            <w:tcW w:w="1857" w:type="dxa"/>
            <w:tcMar>
              <w:left w:w="105" w:type="dxa"/>
              <w:right w:w="105" w:type="dxa"/>
            </w:tcMar>
            <w:vAlign w:val="top"/>
          </w:tcPr>
          <w:p w:rsidR="3951D526" w:rsidP="3951D526" w:rsidRDefault="3951D526" w14:paraId="0EA81EF8" w14:textId="404826EB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951D526" w:rsidR="3951D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Date Issued:</w:t>
            </w:r>
          </w:p>
          <w:p w:rsidR="3951D526" w:rsidP="3951D526" w:rsidRDefault="3951D526" w14:paraId="0E42D92A" w14:textId="63996E57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57" w:type="dxa"/>
            <w:tcMar>
              <w:left w:w="105" w:type="dxa"/>
              <w:right w:w="105" w:type="dxa"/>
            </w:tcMar>
            <w:vAlign w:val="top"/>
          </w:tcPr>
          <w:p w:rsidR="3951D526" w:rsidP="3951D526" w:rsidRDefault="3951D526" w14:paraId="14C0B64D" w14:textId="04E5E801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951D526" w:rsidR="3951D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Date Revised:</w:t>
            </w:r>
          </w:p>
          <w:p w:rsidR="3951D526" w:rsidP="3951D526" w:rsidRDefault="3951D526" w14:paraId="09A4AD6F" w14:textId="672A97B0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57" w:type="dxa"/>
            <w:tcMar>
              <w:left w:w="105" w:type="dxa"/>
              <w:right w:w="105" w:type="dxa"/>
            </w:tcMar>
            <w:vAlign w:val="top"/>
          </w:tcPr>
          <w:p w:rsidR="3951D526" w:rsidP="3951D526" w:rsidRDefault="3951D526" w14:paraId="4980C6D8" w14:textId="770A6492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951D526" w:rsidR="3951D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Date Rescinded:</w:t>
            </w:r>
          </w:p>
          <w:p w:rsidR="3951D526" w:rsidP="3951D526" w:rsidRDefault="3951D526" w14:paraId="0B9626EA" w14:textId="1A66C5CA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57" w:type="dxa"/>
            <w:tcMar>
              <w:left w:w="105" w:type="dxa"/>
              <w:right w:w="105" w:type="dxa"/>
            </w:tcMar>
            <w:vAlign w:val="top"/>
          </w:tcPr>
          <w:p w:rsidR="3951D526" w:rsidP="3951D526" w:rsidRDefault="3951D526" w14:paraId="1110A65E" w14:textId="3C05AFBE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951D526" w:rsidR="3951D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Monitoring: </w:t>
            </w:r>
          </w:p>
          <w:p w:rsidR="3951D526" w:rsidP="3951D526" w:rsidRDefault="3951D526" w14:paraId="0A2C1421" w14:textId="64B9B00E">
            <w:pPr>
              <w:spacing w:line="259" w:lineRule="auto"/>
            </w:pPr>
            <w:r w:rsidRPr="3951D526" w:rsidR="3951D5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Annually, in [month]</w:t>
            </w:r>
            <w:r w:rsidR="3951D526">
              <w:rPr/>
              <w:t xml:space="preserve"> </w:t>
            </w:r>
          </w:p>
        </w:tc>
      </w:tr>
    </w:tbl>
    <w:p xmlns:wp14="http://schemas.microsoft.com/office/word/2010/wordml" w:rsidP="1EB69002" wp14:paraId="13DA708D" wp14:textId="0C335AEC">
      <w:pPr>
        <w:pStyle w:val="Normal"/>
        <w:spacing w:before="360" w:beforeAutospacing="off"/>
      </w:pPr>
      <w:r w:rsidR="2FB566D4">
        <w:rPr/>
        <w:t xml:space="preserve">Unless otherwise prohibited, charter schools may apply for waivers of any state board rule or statute that inhibits or hinders the charter school’s ability to meet its goals or </w:t>
      </w:r>
      <w:r w:rsidR="2FB566D4">
        <w:rPr/>
        <w:t>comply with</w:t>
      </w:r>
      <w:r w:rsidR="2FB566D4">
        <w:rPr/>
        <w:t xml:space="preserve"> its mission </w:t>
      </w:r>
      <w:r w:rsidR="2FB566D4">
        <w:rPr/>
        <w:t xml:space="preserve">statement.</w:t>
      </w:r>
      <w:r w:rsidRPr="119E9F9F">
        <w:rPr>
          <w:rStyle w:val="FootnoteReference"/>
        </w:rPr>
        <w:footnoteReference w:id="16278"/>
      </w:r>
    </w:p>
    <w:p xmlns:wp14="http://schemas.microsoft.com/office/word/2010/wordml" w:rsidP="1EB69002" wp14:paraId="5A3C55AF" wp14:textId="72BF3898">
      <w:pPr>
        <w:pStyle w:val="Normal"/>
        <w:spacing w:after="360" w:afterAutospacing="off"/>
      </w:pPr>
      <w:r w:rsidR="1EB69002">
        <w:rPr/>
        <w:t xml:space="preserve">As part of its </w:t>
      </w:r>
      <w:r w:rsidR="1EB69002">
        <w:rPr/>
        <w:t xml:space="preserve">charter </w:t>
      </w:r>
      <w:r w:rsidR="1EB69002">
        <w:rPr/>
        <w:t xml:space="preserve">agreement, </w:t>
      </w:r>
      <w:r w:rsidR="1EB69002">
        <w:rPr/>
        <w:t>[</w:t>
      </w:r>
      <w:r w:rsidRPr="1EB69002" w:rsidR="1EB69002">
        <w:rPr>
          <w:i w:val="1"/>
          <w:iCs w:val="1"/>
        </w:rPr>
        <w:t>School/CMO name</w:t>
      </w:r>
      <w:r w:rsidR="1EB69002">
        <w:rPr/>
        <w:t xml:space="preserve">] has </w:t>
      </w:r>
      <w:r w:rsidR="1EB69002">
        <w:rPr/>
        <w:t xml:space="preserve">been granted </w:t>
      </w:r>
      <w:r w:rsidR="1EB69002">
        <w:rPr/>
        <w:t xml:space="preserve">waivers </w:t>
      </w:r>
      <w:r w:rsidR="1EB69002">
        <w:rPr/>
        <w:t>regarding</w:t>
      </w:r>
      <w:r w:rsidR="1EB69002">
        <w:rPr/>
        <w:t xml:space="preserve"> the following </w:t>
      </w:r>
      <w:r w:rsidR="1EB69002">
        <w:rPr/>
        <w:t>state</w:t>
      </w:r>
      <w:r w:rsidR="1EB69002">
        <w:rPr/>
        <w:t xml:space="preserve"> s</w:t>
      </w:r>
      <w:r w:rsidR="1EB69002">
        <w:rPr/>
        <w:t xml:space="preserve">tatutes, rules, regulations, and/or policies.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50"/>
        <w:gridCol w:w="3050"/>
        <w:gridCol w:w="3050"/>
      </w:tblGrid>
      <w:tr w:rsidR="1EB69002" w:rsidTr="1EB69002" w14:paraId="04EBCC37">
        <w:trPr>
          <w:trHeight w:val="300"/>
        </w:trPr>
        <w:tc>
          <w:tcPr>
            <w:tcW w:w="3050" w:type="dxa"/>
            <w:tcMar/>
          </w:tcPr>
          <w:p w:rsidR="1EB69002" w:rsidP="1EB69002" w:rsidRDefault="1EB69002" w14:paraId="4BEE3D81" w14:textId="5FF112F4">
            <w:pPr>
              <w:pStyle w:val="Normal"/>
              <w:jc w:val="center"/>
              <w:rPr>
                <w:b w:val="1"/>
                <w:bCs w:val="1"/>
              </w:rPr>
            </w:pPr>
            <w:r w:rsidRPr="1EB69002" w:rsidR="1EB69002">
              <w:rPr>
                <w:b w:val="1"/>
                <w:bCs w:val="1"/>
              </w:rPr>
              <w:t>Statute, Rule/Regulation, Policy Waived</w:t>
            </w:r>
          </w:p>
        </w:tc>
        <w:tc>
          <w:tcPr>
            <w:tcW w:w="3050" w:type="dxa"/>
            <w:tcMar/>
          </w:tcPr>
          <w:p w:rsidR="1EB69002" w:rsidP="1EB69002" w:rsidRDefault="1EB69002" w14:paraId="7B8AA9E1" w14:textId="2E63C347">
            <w:pPr>
              <w:pStyle w:val="Normal"/>
              <w:jc w:val="center"/>
              <w:rPr>
                <w:b w:val="1"/>
                <w:bCs w:val="1"/>
              </w:rPr>
            </w:pPr>
            <w:r w:rsidRPr="1EB69002" w:rsidR="1EB69002">
              <w:rPr>
                <w:b w:val="1"/>
                <w:bCs w:val="1"/>
              </w:rPr>
              <w:t>Date Waiver Received</w:t>
            </w:r>
          </w:p>
        </w:tc>
        <w:tc>
          <w:tcPr>
            <w:tcW w:w="3050" w:type="dxa"/>
            <w:tcMar/>
          </w:tcPr>
          <w:p w:rsidR="1EB69002" w:rsidP="1EB69002" w:rsidRDefault="1EB69002" w14:paraId="7D0AAB53" w14:textId="193A197E">
            <w:pPr>
              <w:pStyle w:val="Normal"/>
              <w:jc w:val="center"/>
              <w:rPr>
                <w:b w:val="1"/>
                <w:bCs w:val="1"/>
              </w:rPr>
            </w:pPr>
            <w:r w:rsidRPr="1EB69002" w:rsidR="1EB69002">
              <w:rPr>
                <w:b w:val="1"/>
                <w:bCs w:val="1"/>
              </w:rPr>
              <w:t>Date Waiver Must be Renewed</w:t>
            </w:r>
          </w:p>
        </w:tc>
      </w:tr>
      <w:tr w:rsidR="1EB69002" w:rsidTr="1EB69002" w14:paraId="259937E0">
        <w:trPr>
          <w:trHeight w:val="300"/>
        </w:trPr>
        <w:tc>
          <w:tcPr>
            <w:tcW w:w="3050" w:type="dxa"/>
            <w:tcMar/>
          </w:tcPr>
          <w:p w:rsidR="1EB69002" w:rsidP="1EB69002" w:rsidRDefault="1EB69002" w14:paraId="27186594" w14:textId="622FA0FD">
            <w:pPr>
              <w:pStyle w:val="Normal"/>
              <w:rPr>
                <w:highlight w:val="yellow"/>
              </w:rPr>
            </w:pPr>
          </w:p>
          <w:p w:rsidR="1EB69002" w:rsidP="1EB69002" w:rsidRDefault="1EB69002" w14:paraId="780D572F" w14:textId="5D224252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5B01001F" w14:textId="72D8692C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063BE29C" w14:textId="519E0787">
            <w:pPr>
              <w:pStyle w:val="Normal"/>
              <w:rPr>
                <w:highlight w:val="yellow"/>
              </w:rPr>
            </w:pPr>
          </w:p>
        </w:tc>
      </w:tr>
      <w:tr w:rsidR="1EB69002" w:rsidTr="1EB69002" w14:paraId="23CA5565">
        <w:trPr>
          <w:trHeight w:val="300"/>
        </w:trPr>
        <w:tc>
          <w:tcPr>
            <w:tcW w:w="3050" w:type="dxa"/>
            <w:tcMar/>
          </w:tcPr>
          <w:p w:rsidR="1EB69002" w:rsidP="1EB69002" w:rsidRDefault="1EB69002" w14:paraId="432121F6" w14:textId="592F78BF">
            <w:pPr>
              <w:pStyle w:val="Normal"/>
              <w:rPr>
                <w:highlight w:val="yellow"/>
              </w:rPr>
            </w:pPr>
          </w:p>
          <w:p w:rsidR="1EB69002" w:rsidP="1EB69002" w:rsidRDefault="1EB69002" w14:paraId="099EBC7C" w14:textId="41143BE8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5F6AA72B" w14:textId="7174886C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33FC4DFB" w14:textId="63ACE08C">
            <w:pPr>
              <w:pStyle w:val="Normal"/>
              <w:rPr>
                <w:highlight w:val="yellow"/>
              </w:rPr>
            </w:pPr>
          </w:p>
        </w:tc>
      </w:tr>
      <w:tr w:rsidR="1EB69002" w:rsidTr="1EB69002" w14:paraId="18D1DE11">
        <w:trPr>
          <w:trHeight w:val="300"/>
        </w:trPr>
        <w:tc>
          <w:tcPr>
            <w:tcW w:w="3050" w:type="dxa"/>
            <w:tcMar/>
          </w:tcPr>
          <w:p w:rsidR="1EB69002" w:rsidP="1EB69002" w:rsidRDefault="1EB69002" w14:paraId="1D69AEDD" w14:textId="616D92FD">
            <w:pPr>
              <w:pStyle w:val="Normal"/>
              <w:rPr>
                <w:highlight w:val="yellow"/>
              </w:rPr>
            </w:pPr>
          </w:p>
          <w:p w:rsidR="1EB69002" w:rsidP="1EB69002" w:rsidRDefault="1EB69002" w14:paraId="2EF955A8" w14:textId="090D995B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6C129654" w14:textId="52787CEF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28D10A90" w14:textId="406B7467">
            <w:pPr>
              <w:pStyle w:val="Normal"/>
              <w:rPr>
                <w:highlight w:val="yellow"/>
              </w:rPr>
            </w:pPr>
          </w:p>
        </w:tc>
      </w:tr>
      <w:tr w:rsidR="1EB69002" w:rsidTr="1EB69002" w14:paraId="19E31755">
        <w:trPr>
          <w:trHeight w:val="300"/>
        </w:trPr>
        <w:tc>
          <w:tcPr>
            <w:tcW w:w="3050" w:type="dxa"/>
            <w:tcMar/>
          </w:tcPr>
          <w:p w:rsidR="1EB69002" w:rsidP="1EB69002" w:rsidRDefault="1EB69002" w14:paraId="798CCB02" w14:textId="5CA059D1">
            <w:pPr>
              <w:pStyle w:val="Normal"/>
              <w:rPr>
                <w:highlight w:val="yellow"/>
              </w:rPr>
            </w:pPr>
          </w:p>
          <w:p w:rsidR="1EB69002" w:rsidP="1EB69002" w:rsidRDefault="1EB69002" w14:paraId="4A5D0222" w14:textId="2AAB2DD1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4CA39265" w14:textId="2F1E572C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1F04F4F2" w14:textId="47A37175">
            <w:pPr>
              <w:pStyle w:val="Normal"/>
              <w:rPr>
                <w:highlight w:val="yellow"/>
              </w:rPr>
            </w:pPr>
          </w:p>
        </w:tc>
      </w:tr>
      <w:tr w:rsidR="1EB69002" w:rsidTr="1EB69002" w14:paraId="10B3CC08">
        <w:trPr>
          <w:trHeight w:val="300"/>
        </w:trPr>
        <w:tc>
          <w:tcPr>
            <w:tcW w:w="3050" w:type="dxa"/>
            <w:tcMar/>
          </w:tcPr>
          <w:p w:rsidR="1EB69002" w:rsidP="1EB69002" w:rsidRDefault="1EB69002" w14:paraId="19190987" w14:textId="27708774">
            <w:pPr>
              <w:pStyle w:val="Normal"/>
              <w:rPr>
                <w:highlight w:val="yellow"/>
              </w:rPr>
            </w:pPr>
          </w:p>
          <w:p w:rsidR="1EB69002" w:rsidP="1EB69002" w:rsidRDefault="1EB69002" w14:paraId="0C46C231" w14:textId="1637686A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6356F828" w14:textId="3816F661">
            <w:pPr>
              <w:pStyle w:val="Normal"/>
              <w:rPr>
                <w:highlight w:val="yellow"/>
              </w:rPr>
            </w:pPr>
          </w:p>
        </w:tc>
        <w:tc>
          <w:tcPr>
            <w:tcW w:w="3050" w:type="dxa"/>
            <w:tcMar/>
          </w:tcPr>
          <w:p w:rsidR="1EB69002" w:rsidP="1EB69002" w:rsidRDefault="1EB69002" w14:paraId="7E2E5CFD" w14:textId="68F183EF">
            <w:pPr>
              <w:pStyle w:val="Normal"/>
              <w:rPr>
                <w:highlight w:val="yellow"/>
              </w:rPr>
            </w:pPr>
          </w:p>
        </w:tc>
      </w:tr>
    </w:tbl>
    <w:p w:rsidR="3C387145" w:rsidP="1EB69002" w:rsidRDefault="3C387145" w14:paraId="2573A2FD" w14:textId="7B323142">
      <w:pPr>
        <w:pStyle w:val="Normal"/>
        <w:spacing w:before="360" w:beforeAutospacing="off" w:after="240" w:afterAutospacing="off"/>
      </w:pPr>
      <w:r w:rsidR="1EB69002">
        <w:rPr/>
        <w:t>[S</w:t>
      </w:r>
      <w:r w:rsidRPr="1EB69002" w:rsidR="1EB69002">
        <w:rPr>
          <w:i w:val="1"/>
          <w:iCs w:val="1"/>
        </w:rPr>
        <w:t>chool/CMO name</w:t>
      </w:r>
      <w:r w:rsidR="1EB69002">
        <w:rPr/>
        <w:t xml:space="preserve">] shall </w:t>
      </w:r>
      <w:r w:rsidR="1EB69002">
        <w:rPr/>
        <w:t>comply with</w:t>
      </w:r>
      <w:r w:rsidR="1EB69002">
        <w:rPr/>
        <w:t xml:space="preserve"> laws </w:t>
      </w:r>
      <w:r w:rsidR="1EB69002">
        <w:rPr/>
        <w:t>pertaining to</w:t>
      </w:r>
      <w:r w:rsidR="1EB69002">
        <w:rPr/>
        <w:t xml:space="preserve"> the following:</w:t>
      </w:r>
    </w:p>
    <w:p w:rsidR="3C387145" w:rsidP="119E9F9F" w:rsidRDefault="3C387145" w14:paraId="64D7F13B" w14:textId="36ACE3EB">
      <w:pPr>
        <w:pStyle w:val="ListParagraph"/>
        <w:numPr>
          <w:ilvl w:val="0"/>
          <w:numId w:val="1"/>
        </w:numPr>
        <w:rPr/>
      </w:pPr>
      <w:r w:rsidR="3C387145">
        <w:rPr/>
        <w:t>Federal and state civil rights;</w:t>
      </w:r>
    </w:p>
    <w:p w:rsidR="3C387145" w:rsidP="119E9F9F" w:rsidRDefault="3C387145" w14:paraId="203D410C" w14:textId="1D13AC07">
      <w:pPr>
        <w:pStyle w:val="ListParagraph"/>
        <w:numPr>
          <w:ilvl w:val="0"/>
          <w:numId w:val="1"/>
        </w:numPr>
        <w:rPr/>
      </w:pPr>
      <w:r w:rsidR="3C387145">
        <w:rPr/>
        <w:t>Federal, state, and local health and safety;</w:t>
      </w:r>
    </w:p>
    <w:p w:rsidR="3C387145" w:rsidP="119E9F9F" w:rsidRDefault="3C387145" w14:paraId="7AA1284E" w14:textId="508BCF5D">
      <w:pPr>
        <w:pStyle w:val="ListParagraph"/>
        <w:numPr>
          <w:ilvl w:val="0"/>
          <w:numId w:val="1"/>
        </w:numPr>
        <w:rPr/>
      </w:pPr>
      <w:r w:rsidR="3C387145">
        <w:rPr/>
        <w:t>Federal and state public records;</w:t>
      </w:r>
    </w:p>
    <w:p w:rsidR="3C387145" w:rsidP="119E9F9F" w:rsidRDefault="3C387145" w14:paraId="61C8A9C2" w14:textId="2D4C5359">
      <w:pPr>
        <w:pStyle w:val="ListParagraph"/>
        <w:numPr>
          <w:ilvl w:val="0"/>
          <w:numId w:val="1"/>
        </w:numPr>
        <w:rPr/>
      </w:pPr>
      <w:r w:rsidR="3C387145">
        <w:rPr/>
        <w:t>Immunization;</w:t>
      </w:r>
    </w:p>
    <w:p w:rsidR="3C387145" w:rsidP="119E9F9F" w:rsidRDefault="3C387145" w14:paraId="1C8F59DF" w14:textId="086FF2BB">
      <w:pPr>
        <w:pStyle w:val="ListParagraph"/>
        <w:numPr>
          <w:ilvl w:val="0"/>
          <w:numId w:val="1"/>
        </w:numPr>
        <w:rPr/>
      </w:pPr>
      <w:r w:rsidR="3C387145">
        <w:rPr/>
        <w:t>Possession of weapons on school grounds;</w:t>
      </w:r>
    </w:p>
    <w:p w:rsidR="3C387145" w:rsidP="119E9F9F" w:rsidRDefault="3C387145" w14:paraId="6A31C9B4" w14:textId="7FBBDCA2">
      <w:pPr>
        <w:pStyle w:val="ListParagraph"/>
        <w:numPr>
          <w:ilvl w:val="0"/>
          <w:numId w:val="1"/>
        </w:numPr>
        <w:rPr/>
      </w:pPr>
      <w:r w:rsidR="3C387145">
        <w:rPr/>
        <w:t>Background checks and fingerprinting personnel;</w:t>
      </w:r>
    </w:p>
    <w:p w:rsidR="3C387145" w:rsidP="119E9F9F" w:rsidRDefault="3C387145" w14:paraId="7B9D4F32" w14:textId="62E57265">
      <w:pPr>
        <w:pStyle w:val="ListParagraph"/>
        <w:numPr>
          <w:ilvl w:val="0"/>
          <w:numId w:val="1"/>
        </w:numPr>
        <w:rPr/>
      </w:pPr>
      <w:r w:rsidR="3C387145">
        <w:rPr/>
        <w:t>Federal and state special education services;</w:t>
      </w:r>
    </w:p>
    <w:p w:rsidR="3C387145" w:rsidP="119E9F9F" w:rsidRDefault="3C387145" w14:paraId="01D90A77" w14:textId="0DC500A5">
      <w:pPr>
        <w:pStyle w:val="ListParagraph"/>
        <w:numPr>
          <w:ilvl w:val="0"/>
          <w:numId w:val="1"/>
        </w:numPr>
        <w:rPr/>
      </w:pPr>
      <w:r w:rsidR="3C387145">
        <w:rPr/>
        <w:t>Student due process;</w:t>
      </w:r>
    </w:p>
    <w:p w:rsidR="3C387145" w:rsidP="119E9F9F" w:rsidRDefault="3C387145" w14:paraId="635A0374" w14:textId="1C993D46">
      <w:pPr>
        <w:pStyle w:val="ListParagraph"/>
        <w:numPr>
          <w:ilvl w:val="0"/>
          <w:numId w:val="1"/>
        </w:numPr>
        <w:rPr/>
      </w:pPr>
      <w:r w:rsidR="3C387145">
        <w:rPr/>
        <w:t>Parental rights;</w:t>
      </w:r>
    </w:p>
    <w:p w:rsidR="3C387145" w:rsidP="119E9F9F" w:rsidRDefault="3C387145" w14:paraId="527A68C6" w14:textId="11F48B1F">
      <w:pPr>
        <w:pStyle w:val="ListParagraph"/>
        <w:numPr>
          <w:ilvl w:val="0"/>
          <w:numId w:val="1"/>
        </w:numPr>
        <w:rPr/>
      </w:pPr>
      <w:r w:rsidR="3C387145">
        <w:rPr/>
        <w:t>Federal and state student assessment and accountability;</w:t>
      </w:r>
    </w:p>
    <w:p w:rsidR="3C387145" w:rsidP="119E9F9F" w:rsidRDefault="3C387145" w14:paraId="20B66626" w14:textId="267DA568">
      <w:pPr>
        <w:pStyle w:val="ListParagraph"/>
        <w:numPr>
          <w:ilvl w:val="0"/>
          <w:numId w:val="1"/>
        </w:numPr>
        <w:rPr/>
      </w:pPr>
      <w:r w:rsidR="3C387145">
        <w:rPr/>
        <w:t>Open meetings; and</w:t>
      </w:r>
    </w:p>
    <w:p w:rsidR="3C387145" w:rsidP="119E9F9F" w:rsidRDefault="3C387145" w14:paraId="4BE7EFCF" w14:textId="59ACEB8B">
      <w:pPr>
        <w:pStyle w:val="ListParagraph"/>
        <w:numPr>
          <w:ilvl w:val="0"/>
          <w:numId w:val="1"/>
        </w:numPr>
        <w:rPr/>
      </w:pPr>
      <w:r w:rsidR="3C387145">
        <w:rPr/>
        <w:t>At least the same equivalent time of instruction as required in regular public schools.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lnNumType w:countBy="1" w:restart="continuous"/>
      <w:headerReference w:type="default" r:id="Rd7d8e2b58a554a1a"/>
      <w:footerReference w:type="default" r:id="R76d6574304bd49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97D739" w:rsidTr="1997D739" w14:paraId="60DC55F5">
      <w:trPr>
        <w:trHeight w:val="300"/>
      </w:trPr>
      <w:tc>
        <w:tcPr>
          <w:tcW w:w="3120" w:type="dxa"/>
          <w:tcMar/>
        </w:tcPr>
        <w:p w:rsidR="1997D739" w:rsidP="1997D739" w:rsidRDefault="1997D739" w14:paraId="00C92FA7" w14:textId="457F8A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997D739" w:rsidP="1997D739" w:rsidRDefault="1997D739" w14:paraId="58C43ACC" w14:textId="27AE57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997D739" w:rsidP="1997D739" w:rsidRDefault="1997D739" w14:paraId="0E735FFB" w14:textId="70F46155">
          <w:pPr>
            <w:pStyle w:val="Header"/>
            <w:bidi w:val="0"/>
            <w:ind w:right="-115"/>
            <w:jc w:val="right"/>
          </w:pPr>
        </w:p>
      </w:tc>
    </w:tr>
  </w:tbl>
  <w:p w:rsidR="1997D739" w:rsidP="1997D739" w:rsidRDefault="1997D739" w14:paraId="43C96EA7" w14:textId="0E44905C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119E9F9F" w:rsidRDefault="119E9F9F" w14:paraId="36C09948" w14:textId="5810C4A2">
      <w:pPr>
        <w:spacing w:after="0" w:line="240" w:lineRule="auto"/>
      </w:pPr>
      <w:r>
        <w:separator/>
      </w:r>
    </w:p>
  </w:footnote>
  <w:footnote w:type="continuationSeparator" w:id="0">
    <w:p w:rsidR="119E9F9F" w:rsidRDefault="119E9F9F" w14:paraId="2E867FC5" w14:textId="557799CD">
      <w:pPr>
        <w:spacing w:after="0" w:line="240" w:lineRule="auto"/>
      </w:pPr>
      <w:r>
        <w:continuationSeparator/>
      </w:r>
    </w:p>
  </w:footnote>
  <w:footnote w:id="16278">
    <w:p w:rsidR="119E9F9F" w:rsidP="119E9F9F" w:rsidRDefault="119E9F9F" w14:paraId="09CA3FAB" w14:textId="06AB2863">
      <w:pPr>
        <w:pStyle w:val="FootnoteText"/>
        <w:bidi w:val="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7"/>
          <w:szCs w:val="27"/>
          <w:lang w:val="en-US"/>
        </w:rPr>
      </w:pPr>
      <w:r w:rsidRPr="119E9F9F">
        <w:rPr>
          <w:rStyle w:val="FootnoteReference"/>
        </w:rPr>
        <w:footnoteRef/>
      </w:r>
      <w:r w:rsidR="119E9F9F">
        <w:rPr/>
        <w:t xml:space="preserve"> Tenn. Code Ann. § 49-13-111(p)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97D739" w:rsidTr="1997D739" w14:paraId="08337A2D">
      <w:trPr>
        <w:trHeight w:val="300"/>
      </w:trPr>
      <w:tc>
        <w:tcPr>
          <w:tcW w:w="3120" w:type="dxa"/>
          <w:tcMar/>
        </w:tcPr>
        <w:p w:rsidR="1997D739" w:rsidP="1997D739" w:rsidRDefault="1997D739" w14:paraId="31F37F59" w14:textId="5859D81F">
          <w:pPr>
            <w:pStyle w:val="Header"/>
            <w:bidi w:val="0"/>
            <w:ind w:left="-115"/>
            <w:jc w:val="left"/>
          </w:pPr>
          <w:r w:rsidR="1997D739">
            <w:rPr/>
            <w:t>Waivers</w:t>
          </w:r>
        </w:p>
      </w:tc>
      <w:tc>
        <w:tcPr>
          <w:tcW w:w="3120" w:type="dxa"/>
          <w:tcMar/>
        </w:tcPr>
        <w:p w:rsidR="1997D739" w:rsidP="1997D739" w:rsidRDefault="1997D739" w14:paraId="575A680C" w14:textId="21DC6B7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997D739" w:rsidP="1997D739" w:rsidRDefault="1997D739" w14:paraId="4CDD0553" w14:textId="47574F5C">
          <w:pPr>
            <w:pStyle w:val="Header"/>
            <w:bidi w:val="0"/>
            <w:ind w:right="-115"/>
            <w:jc w:val="right"/>
          </w:pPr>
          <w:r w:rsidR="1997D739">
            <w:rPr/>
            <w:t>Policy 1100</w:t>
          </w:r>
        </w:p>
      </w:tc>
    </w:tr>
  </w:tbl>
  <w:p w:rsidR="1997D739" w:rsidP="1997D739" w:rsidRDefault="1997D739" w14:paraId="14C0202F" w14:textId="2959B8F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a8c65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F1ED57"/>
    <w:rsid w:val="0122AEEA"/>
    <w:rsid w:val="0CA0E56C"/>
    <w:rsid w:val="0E1F4BD2"/>
    <w:rsid w:val="119E9F9F"/>
    <w:rsid w:val="1379CB9C"/>
    <w:rsid w:val="193F797F"/>
    <w:rsid w:val="1997D739"/>
    <w:rsid w:val="1D73E5BC"/>
    <w:rsid w:val="1EB69002"/>
    <w:rsid w:val="231409C4"/>
    <w:rsid w:val="23701121"/>
    <w:rsid w:val="23894765"/>
    <w:rsid w:val="23F432E0"/>
    <w:rsid w:val="23F8C656"/>
    <w:rsid w:val="2B384B57"/>
    <w:rsid w:val="2FB566D4"/>
    <w:rsid w:val="3050C8C8"/>
    <w:rsid w:val="340C93DC"/>
    <w:rsid w:val="340C93DC"/>
    <w:rsid w:val="3951D526"/>
    <w:rsid w:val="3A882AD5"/>
    <w:rsid w:val="3C387145"/>
    <w:rsid w:val="3EAE99E4"/>
    <w:rsid w:val="40FB9AE0"/>
    <w:rsid w:val="44802AE9"/>
    <w:rsid w:val="4A07C8E0"/>
    <w:rsid w:val="4D3B5BE2"/>
    <w:rsid w:val="4FB23BF4"/>
    <w:rsid w:val="52F1ED57"/>
    <w:rsid w:val="53D8C46C"/>
    <w:rsid w:val="55EE18E4"/>
    <w:rsid w:val="5FCC3CEF"/>
    <w:rsid w:val="61B37F92"/>
    <w:rsid w:val="6A2AA3AE"/>
    <w:rsid w:val="71CDBCCB"/>
    <w:rsid w:val="73DE6A8F"/>
    <w:rsid w:val="79A9A005"/>
    <w:rsid w:val="7FA6D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ED57"/>
  <w15:chartTrackingRefBased/>
  <w15:docId w15:val="{4EE34AF1-8233-4CA6-8F7A-E0081FDE7C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DefaultParagraphFont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notes" Target="footnotes.xml" Id="R01fc6b2f6be34c95" /><Relationship Type="http://schemas.openxmlformats.org/officeDocument/2006/relationships/numbering" Target="numbering.xml" Id="Raf6a02fbd5d24644" /><Relationship Type="http://schemas.openxmlformats.org/officeDocument/2006/relationships/header" Target="header.xml" Id="Rd7d8e2b58a554a1a" /><Relationship Type="http://schemas.openxmlformats.org/officeDocument/2006/relationships/footer" Target="footer.xml" Id="R76d6574304bd49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2024-07-31T17:13:52.1486200Z</dcterms:created>
  <dcterms:modified xsi:type="dcterms:W3CDTF">2024-07-31T20:20:04.8624703Z</dcterms:modified>
  <dc:creator>Ally Lynch</dc:creator>
  <lastModifiedBy>Ally Lynch</lastModifiedBy>
</coreProperties>
</file>