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975"/>
        <w:gridCol w:w="1620"/>
        <w:gridCol w:w="1620"/>
        <w:gridCol w:w="1800"/>
        <w:gridCol w:w="2334"/>
      </w:tblGrid>
      <w:tr w:rsidRPr="00F34957" w:rsidR="00D9626D" w:rsidTr="26DAC08B" w14:paraId="78C2F0C1" w14:textId="77777777">
        <w:trPr>
          <w:trHeight w:val="291"/>
        </w:trPr>
        <w:tc>
          <w:tcPr>
            <w:tcW w:w="9349" w:type="dxa"/>
            <w:gridSpan w:val="5"/>
            <w:tcMar/>
          </w:tcPr>
          <w:p w:rsidRPr="00F34957" w:rsidR="00D9626D" w:rsidP="00D9626D" w:rsidRDefault="00D9626D" w14:paraId="419E80E0" w14:textId="650DDA31">
            <w:pPr>
              <w:jc w:val="center"/>
              <w:rPr>
                <w:b/>
                <w:bCs/>
                <w:sz w:val="24"/>
                <w:szCs w:val="24"/>
              </w:rPr>
            </w:pPr>
            <w:r w:rsidRPr="00F34957">
              <w:rPr>
                <w:b/>
                <w:bCs/>
                <w:sz w:val="24"/>
                <w:szCs w:val="24"/>
              </w:rPr>
              <w:t>[School Name]</w:t>
            </w:r>
          </w:p>
        </w:tc>
      </w:tr>
      <w:tr w:rsidRPr="00F34957" w:rsidR="00D9626D" w:rsidTr="26DAC08B" w14:paraId="5B5C2B26" w14:textId="77777777">
        <w:trPr>
          <w:trHeight w:val="291"/>
        </w:trPr>
        <w:tc>
          <w:tcPr>
            <w:tcW w:w="9349" w:type="dxa"/>
            <w:gridSpan w:val="5"/>
            <w:tcMar/>
          </w:tcPr>
          <w:p w:rsidRPr="00F34957" w:rsidR="00D9626D" w:rsidP="00D9626D" w:rsidRDefault="00890A0F" w14:paraId="2093A636" w14:textId="23A428CE">
            <w:pPr>
              <w:jc w:val="center"/>
              <w:rPr>
                <w:b/>
                <w:bCs/>
                <w:sz w:val="24"/>
                <w:szCs w:val="24"/>
              </w:rPr>
            </w:pPr>
            <w:r>
              <w:rPr>
                <w:b/>
                <w:bCs/>
                <w:sz w:val="24"/>
                <w:szCs w:val="24"/>
              </w:rPr>
              <w:t>Inter</w:t>
            </w:r>
            <w:r w:rsidR="00EE721F">
              <w:rPr>
                <w:b/>
                <w:bCs/>
                <w:sz w:val="24"/>
                <w:szCs w:val="24"/>
              </w:rPr>
              <w:t>scholastic Athletics</w:t>
            </w:r>
          </w:p>
        </w:tc>
      </w:tr>
      <w:tr w:rsidRPr="00F34957" w:rsidR="00D9626D" w:rsidTr="26DAC08B" w14:paraId="0C240EA3" w14:textId="77777777">
        <w:trPr>
          <w:trHeight w:val="540"/>
        </w:trPr>
        <w:tc>
          <w:tcPr>
            <w:tcW w:w="1975" w:type="dxa"/>
            <w:tcMar/>
          </w:tcPr>
          <w:p w:rsidRPr="00F34957" w:rsidR="00D9626D" w:rsidRDefault="00D9626D" w14:paraId="7C762FDB" w14:textId="77777777">
            <w:r w:rsidRPr="00F34957">
              <w:t xml:space="preserve">Policy Number: </w:t>
            </w:r>
          </w:p>
          <w:p w:rsidRPr="00F34957" w:rsidR="005B0D54" w:rsidRDefault="00890A0F" w14:paraId="699B2514" w14:textId="642DDC84">
            <w:r w:rsidR="0A450E20">
              <w:rPr/>
              <w:t>3</w:t>
            </w:r>
            <w:r w:rsidR="00EE721F">
              <w:rPr/>
              <w:t>301</w:t>
            </w:r>
          </w:p>
        </w:tc>
        <w:tc>
          <w:tcPr>
            <w:tcW w:w="1620" w:type="dxa"/>
            <w:tcMar/>
          </w:tcPr>
          <w:p w:rsidRPr="00F34957" w:rsidR="00D9626D" w:rsidRDefault="00D9626D" w14:paraId="4F1CC393" w14:textId="77777777">
            <w:r w:rsidRPr="00F34957">
              <w:t>Date Issued:</w:t>
            </w:r>
          </w:p>
          <w:p w:rsidRPr="00F34957" w:rsidR="005B0D54" w:rsidRDefault="005B0D54" w14:paraId="7FEA71F7" w14:textId="594DC4A2"/>
        </w:tc>
        <w:tc>
          <w:tcPr>
            <w:tcW w:w="1620" w:type="dxa"/>
            <w:tcMar/>
          </w:tcPr>
          <w:p w:rsidRPr="00F34957" w:rsidR="00D9626D" w:rsidRDefault="00D9626D" w14:paraId="7A15DB4E" w14:textId="77777777">
            <w:r w:rsidRPr="00F34957">
              <w:t>Date Revised:</w:t>
            </w:r>
          </w:p>
          <w:p w:rsidRPr="00F34957" w:rsidR="005B0D54" w:rsidRDefault="005B0D54" w14:paraId="38F7B90E" w14:textId="003CA5FD"/>
        </w:tc>
        <w:tc>
          <w:tcPr>
            <w:tcW w:w="1800" w:type="dxa"/>
            <w:tcMar/>
          </w:tcPr>
          <w:p w:rsidRPr="00F34957" w:rsidR="00D9626D" w:rsidRDefault="00D9626D" w14:paraId="7F7909CE" w14:textId="77777777">
            <w:r w:rsidRPr="00F34957">
              <w:t>Date Rescinded:</w:t>
            </w:r>
          </w:p>
          <w:p w:rsidRPr="00F34957" w:rsidR="005B0D54" w:rsidRDefault="005B0D54" w14:paraId="128331BE" w14:textId="2307DF03"/>
        </w:tc>
        <w:tc>
          <w:tcPr>
            <w:tcW w:w="2334" w:type="dxa"/>
            <w:tcMar/>
          </w:tcPr>
          <w:p w:rsidRPr="00F34957" w:rsidR="00D9626D" w:rsidRDefault="00D9626D" w14:paraId="2607827B" w14:textId="77777777">
            <w:r w:rsidRPr="00F34957">
              <w:t xml:space="preserve">Monitoring: </w:t>
            </w:r>
          </w:p>
          <w:p w:rsidRPr="00F34957" w:rsidR="005B0D54" w:rsidRDefault="00020D7E" w14:paraId="4E180FD4" w14:textId="655487CE">
            <w:r w:rsidRPr="00F34957">
              <w:t xml:space="preserve">Annually, in </w:t>
            </w:r>
            <w:r w:rsidRPr="00F34957" w:rsidR="005A17B1">
              <w:t>[month]</w:t>
            </w:r>
          </w:p>
        </w:tc>
      </w:tr>
    </w:tbl>
    <w:p w:rsidRPr="004D119F" w:rsidR="004D119F" w:rsidP="00FF2063" w:rsidRDefault="004D119F" w14:paraId="59E78740" w14:textId="2A627843">
      <w:pPr>
        <w:spacing w:before="360" w:after="240"/>
        <w:jc w:val="both"/>
      </w:pPr>
      <w:r>
        <w:t>[</w:t>
      </w:r>
      <w:r w:rsidRPr="004D119F">
        <w:rPr>
          <w:i/>
          <w:iCs/>
        </w:rPr>
        <w:t>School/CMO name</w:t>
      </w:r>
      <w:r>
        <w:t>] provides school youth athletic activity.</w:t>
      </w:r>
      <w:r>
        <w:rPr>
          <w:rStyle w:val="FootnoteReference"/>
        </w:rPr>
        <w:footnoteReference w:id="1"/>
      </w:r>
    </w:p>
    <w:p w:rsidRPr="00FF2063" w:rsidR="00FF2063" w:rsidP="00626FCD" w:rsidRDefault="00FF2063" w14:paraId="7BC0B43D" w14:textId="6D83842F">
      <w:pPr>
        <w:spacing w:after="240"/>
        <w:jc w:val="both"/>
        <w:rPr>
          <w:i/>
          <w:iCs/>
        </w:rPr>
      </w:pPr>
      <w:r w:rsidRPr="00FF2063">
        <w:rPr>
          <w:i/>
          <w:iCs/>
        </w:rPr>
        <w:t>General</w:t>
      </w:r>
      <w:r w:rsidR="00ED010A">
        <w:rPr>
          <w:rStyle w:val="FootnoteReference"/>
          <w:i/>
          <w:iCs/>
        </w:rPr>
        <w:footnoteReference w:id="2"/>
      </w:r>
    </w:p>
    <w:p w:rsidR="007C5D04" w:rsidP="00626FCD" w:rsidRDefault="007B12DA" w14:paraId="3BF7B071" w14:textId="49772B30">
      <w:pPr>
        <w:spacing w:after="240"/>
        <w:jc w:val="both"/>
      </w:pPr>
      <w:r>
        <w:t xml:space="preserve">No person shall, </w:t>
      </w:r>
      <w:proofErr w:type="gramStart"/>
      <w:r>
        <w:t>on the basis of</w:t>
      </w:r>
      <w:proofErr w:type="gramEnd"/>
      <w:r>
        <w:t xml:space="preserve"> sex, be excluded from participation in, be denied the benefits of, be treated differently from another person, or otherwise be discriminated against in any athletic program of the school. Equal athletic opportunities shall be provided for members of both sexes.</w:t>
      </w:r>
      <w:r>
        <w:rPr>
          <w:rStyle w:val="FootnoteReference"/>
        </w:rPr>
        <w:footnoteReference w:id="3"/>
      </w:r>
      <w:r>
        <w:t xml:space="preserve"> Students participating in interscholastic athletics must meet the eligibility requirements set forth by the state and the governing body of the sport.</w:t>
      </w:r>
      <w:r>
        <w:rPr>
          <w:rStyle w:val="FootnoteReference"/>
        </w:rPr>
        <w:footnoteReference w:id="4"/>
      </w:r>
      <w:r>
        <w:t xml:space="preserve"> The [</w:t>
      </w:r>
      <w:r w:rsidRPr="00FF2063">
        <w:rPr>
          <w:i/>
          <w:iCs/>
        </w:rPr>
        <w:t>school leader</w:t>
      </w:r>
      <w:r>
        <w:t xml:space="preserve">] and his/her designee shall require the parent/guardian to provide any necessary documents prior to participation in any interscholastic athletics. </w:t>
      </w:r>
    </w:p>
    <w:p w:rsidR="004D119F" w:rsidP="00626FCD" w:rsidRDefault="004D119F" w14:paraId="4539EFD6" w14:textId="763A17B4">
      <w:pPr>
        <w:spacing w:after="240"/>
        <w:jc w:val="both"/>
      </w:pPr>
      <w:r w:rsidRPr="004D119F">
        <w:rPr>
          <w:i/>
          <w:iCs/>
        </w:rPr>
        <w:t>Required Plans</w:t>
      </w:r>
      <w:r w:rsidR="00D3282A">
        <w:rPr>
          <w:rStyle w:val="FootnoteReference"/>
        </w:rPr>
        <w:footnoteReference w:id="5"/>
      </w:r>
      <w:r w:rsidRPr="004D119F">
        <w:t xml:space="preserve"> </w:t>
      </w:r>
    </w:p>
    <w:p w:rsidR="004D119F" w:rsidP="00626FCD" w:rsidRDefault="00626FCD" w14:paraId="27FE78A3" w14:textId="02451A1F">
      <w:pPr>
        <w:spacing w:after="240"/>
        <w:jc w:val="both"/>
      </w:pPr>
      <w:r>
        <w:t>The [</w:t>
      </w:r>
      <w:r w:rsidRPr="00626FCD">
        <w:rPr>
          <w:i/>
          <w:iCs/>
        </w:rPr>
        <w:t>school leader</w:t>
      </w:r>
      <w:r>
        <w:t xml:space="preserve">] </w:t>
      </w:r>
      <w:r w:rsidR="00D3282A">
        <w:t>or</w:t>
      </w:r>
      <w:r>
        <w:t xml:space="preserve"> his/her designee shall develop and implement an a</w:t>
      </w:r>
      <w:r w:rsidR="004D119F">
        <w:t xml:space="preserve">llergy </w:t>
      </w:r>
      <w:r>
        <w:t xml:space="preserve">and anaphylaxis </w:t>
      </w:r>
      <w:r w:rsidR="004D119F">
        <w:t>emergency response plan</w:t>
      </w:r>
      <w:r>
        <w:t>. The plan shall:</w:t>
      </w:r>
    </w:p>
    <w:p w:rsidR="00626FCD" w:rsidP="00626FCD" w:rsidRDefault="00626FCD" w14:paraId="01859DCC" w14:textId="1A6DB945">
      <w:pPr>
        <w:pStyle w:val="ListParagraph"/>
        <w:numPr>
          <w:ilvl w:val="0"/>
          <w:numId w:val="16"/>
        </w:numPr>
        <w:spacing w:after="240"/>
        <w:jc w:val="both"/>
      </w:pPr>
      <w:r>
        <w:t xml:space="preserve">Identify the signs and symptoms of allergic reactions, including severe allergic reactions and </w:t>
      </w:r>
      <w:proofErr w:type="gramStart"/>
      <w:r>
        <w:t>anaphylaxis;</w:t>
      </w:r>
      <w:proofErr w:type="gramEnd"/>
    </w:p>
    <w:p w:rsidR="00626FCD" w:rsidP="00626FCD" w:rsidRDefault="00626FCD" w14:paraId="095EE508" w14:textId="1EF19934">
      <w:pPr>
        <w:pStyle w:val="ListParagraph"/>
        <w:numPr>
          <w:ilvl w:val="0"/>
          <w:numId w:val="16"/>
        </w:numPr>
        <w:spacing w:after="240"/>
        <w:jc w:val="both"/>
      </w:pPr>
      <w:r>
        <w:t>Provide information relating to the storage, location, use, and administration of epinephrine auto-injectors; and</w:t>
      </w:r>
    </w:p>
    <w:p w:rsidR="00626FCD" w:rsidP="00626FCD" w:rsidRDefault="00626FCD" w14:paraId="42602AC1" w14:textId="377BDC22">
      <w:pPr>
        <w:pStyle w:val="ListParagraph"/>
        <w:numPr>
          <w:ilvl w:val="0"/>
          <w:numId w:val="16"/>
        </w:numPr>
        <w:spacing w:after="240"/>
        <w:jc w:val="both"/>
      </w:pPr>
      <w:r>
        <w:t>Include emergency follow-up procedures.</w:t>
      </w:r>
    </w:p>
    <w:p w:rsidR="0075240B" w:rsidP="00626FCD" w:rsidRDefault="00626FCD" w14:paraId="221BCFE8" w14:textId="0CA9318D">
      <w:pPr>
        <w:spacing w:after="240"/>
        <w:jc w:val="both"/>
      </w:pPr>
      <w:r>
        <w:t xml:space="preserve">The </w:t>
      </w:r>
      <w:r w:rsidRPr="00626FCD">
        <w:t>[</w:t>
      </w:r>
      <w:r w:rsidRPr="00626FCD">
        <w:rPr>
          <w:i/>
          <w:iCs/>
        </w:rPr>
        <w:t>school leader</w:t>
      </w:r>
      <w:r w:rsidRPr="00626FCD">
        <w:t xml:space="preserve">] and his/her designee shall </w:t>
      </w:r>
      <w:r w:rsidR="00D3282A">
        <w:t xml:space="preserve">also </w:t>
      </w:r>
      <w:r w:rsidRPr="00626FCD">
        <w:t xml:space="preserve">develop and implement an </w:t>
      </w:r>
      <w:r w:rsidR="00D3282A">
        <w:t>emergency action plan that facilitates, organizes, and provides for the rehearsal of the actions of coaches and athletes in an emergency.</w:t>
      </w:r>
      <w:r w:rsidR="0075240B">
        <w:t xml:space="preserve"> </w:t>
      </w:r>
    </w:p>
    <w:p w:rsidR="005072E2" w:rsidP="00626FCD" w:rsidRDefault="00D3282A" w14:paraId="0D457104" w14:textId="5B212D15">
      <w:pPr>
        <w:spacing w:after="240"/>
        <w:jc w:val="both"/>
      </w:pPr>
      <w:r>
        <w:t>The [</w:t>
      </w:r>
      <w:r w:rsidRPr="00D3282A">
        <w:rPr>
          <w:i/>
          <w:iCs/>
        </w:rPr>
        <w:t>school leader</w:t>
      </w:r>
      <w:r>
        <w:t xml:space="preserve">] and his/her designee is encouraged to </w:t>
      </w:r>
      <w:r w:rsidRPr="00D3282A">
        <w:t xml:space="preserve">visit the </w:t>
      </w:r>
      <w:r>
        <w:t>Tennessee D</w:t>
      </w:r>
      <w:r w:rsidRPr="00D3282A">
        <w:t xml:space="preserve">epartment of </w:t>
      </w:r>
      <w:r>
        <w:t>H</w:t>
      </w:r>
      <w:r w:rsidRPr="00D3282A">
        <w:t>ealth's website to review the safety standards recommended for each level of recognition provided as part of the department's “Safe Stars Initiative</w:t>
      </w:r>
      <w:r>
        <w:t>,</w:t>
      </w:r>
      <w:r w:rsidRPr="00D3282A">
        <w:t xml:space="preserve">” and to communicate with the </w:t>
      </w:r>
      <w:r>
        <w:t>D</w:t>
      </w:r>
      <w:r w:rsidRPr="00D3282A">
        <w:t>epartment to ensure that all safety measures are up to date.</w:t>
      </w:r>
    </w:p>
    <w:p w:rsidR="00CE47F9" w:rsidP="00CE47F9" w:rsidRDefault="004D119F" w14:paraId="170C0214" w14:textId="77777777">
      <w:pPr>
        <w:spacing w:after="240"/>
        <w:jc w:val="both"/>
      </w:pPr>
      <w:r w:rsidRPr="004D119F">
        <w:rPr>
          <w:i/>
          <w:iCs/>
        </w:rPr>
        <w:t>Required Trainings</w:t>
      </w:r>
      <w:r w:rsidR="00591489">
        <w:rPr>
          <w:rStyle w:val="FootnoteReference"/>
          <w:i/>
          <w:iCs/>
        </w:rPr>
        <w:footnoteReference w:id="6"/>
      </w:r>
      <w:r w:rsidRPr="00CE47F9" w:rsidR="00CE47F9">
        <w:t xml:space="preserve"> </w:t>
      </w:r>
    </w:p>
    <w:p w:rsidR="00CE47F9" w:rsidP="00CE47F9" w:rsidRDefault="00CE47F9" w14:paraId="41E4A30E" w14:textId="05322FE5">
      <w:pPr>
        <w:spacing w:after="240"/>
        <w:jc w:val="both"/>
      </w:pPr>
      <w:r>
        <w:t>All coaches, regardless of whether they are employees or volunteers, shall:</w:t>
      </w:r>
      <w:r>
        <w:rPr>
          <w:rStyle w:val="FootnoteReference"/>
        </w:rPr>
        <w:footnoteReference w:id="7"/>
      </w:r>
    </w:p>
    <w:p w:rsidR="00CE47F9" w:rsidP="00CE47F9" w:rsidRDefault="00CE47F9" w14:paraId="7B5025E0" w14:textId="77777777">
      <w:pPr>
        <w:pStyle w:val="ListParagraph"/>
        <w:numPr>
          <w:ilvl w:val="0"/>
          <w:numId w:val="15"/>
        </w:numPr>
        <w:spacing w:after="240"/>
        <w:jc w:val="both"/>
      </w:pPr>
      <w:r>
        <w:t xml:space="preserve">Annually complete the concussion recognition and head injury safety education course </w:t>
      </w:r>
      <w:proofErr w:type="gramStart"/>
      <w:r>
        <w:t>program;</w:t>
      </w:r>
      <w:proofErr w:type="gramEnd"/>
    </w:p>
    <w:p w:rsidR="00CE47F9" w:rsidP="00CE47F9" w:rsidRDefault="00CE47F9" w14:paraId="4CCA01C1" w14:textId="77777777">
      <w:pPr>
        <w:pStyle w:val="ListParagraph"/>
        <w:numPr>
          <w:ilvl w:val="0"/>
          <w:numId w:val="15"/>
        </w:numPr>
        <w:spacing w:after="240"/>
        <w:jc w:val="both"/>
      </w:pPr>
      <w:r>
        <w:t xml:space="preserve">Annually complete the sudden cardiac arrest education </w:t>
      </w:r>
      <w:proofErr w:type="gramStart"/>
      <w:r>
        <w:t>program;</w:t>
      </w:r>
      <w:proofErr w:type="gramEnd"/>
    </w:p>
    <w:p w:rsidR="00CE47F9" w:rsidP="00CE47F9" w:rsidRDefault="00CE47F9" w14:paraId="7CB21ADB" w14:textId="77777777">
      <w:pPr>
        <w:pStyle w:val="ListParagraph"/>
        <w:numPr>
          <w:ilvl w:val="0"/>
          <w:numId w:val="15"/>
        </w:numPr>
        <w:spacing w:after="240"/>
        <w:jc w:val="both"/>
      </w:pPr>
      <w:r>
        <w:t>Receive training in cardiopulmonary resuscitation (CPR) and in the use of automated external defibrillators (AEDs); and</w:t>
      </w:r>
    </w:p>
    <w:p w:rsidR="004D119F" w:rsidP="00626FCD" w:rsidRDefault="00CE47F9" w14:paraId="2824EED4" w14:textId="720E7A91">
      <w:pPr>
        <w:pStyle w:val="ListParagraph"/>
        <w:numPr>
          <w:ilvl w:val="0"/>
          <w:numId w:val="15"/>
        </w:numPr>
        <w:spacing w:after="240"/>
        <w:jc w:val="both"/>
      </w:pPr>
      <w:r>
        <w:t>Comply with all applicable background check and fingerprinting.</w:t>
      </w:r>
    </w:p>
    <w:p w:rsidR="00CE47F9" w:rsidP="00CE47F9" w:rsidRDefault="00CE47F9" w14:paraId="232C8B41" w14:textId="21CD1628">
      <w:pPr>
        <w:spacing w:after="240"/>
        <w:jc w:val="both"/>
      </w:pPr>
      <w:r>
        <w:t>Coaches are also encouraged to annually complete training in physical conditioning and in the use of training equipment to the extent such training is readily available.</w:t>
      </w:r>
    </w:p>
    <w:p w:rsidR="004D119F" w:rsidP="00626FCD" w:rsidRDefault="004D119F" w14:paraId="57E166F7" w14:textId="74CD8004">
      <w:pPr>
        <w:spacing w:after="240"/>
        <w:jc w:val="both"/>
        <w:rPr>
          <w:i/>
          <w:iCs/>
        </w:rPr>
      </w:pPr>
      <w:r>
        <w:rPr>
          <w:i/>
          <w:iCs/>
        </w:rPr>
        <w:t>C</w:t>
      </w:r>
      <w:r w:rsidR="00D3282A">
        <w:rPr>
          <w:i/>
          <w:iCs/>
        </w:rPr>
        <w:t>ode of Conduct</w:t>
      </w:r>
    </w:p>
    <w:p w:rsidR="00D3282A" w:rsidP="00626FCD" w:rsidRDefault="00D3282A" w14:paraId="2DB8F1AC" w14:textId="7BB01DA8">
      <w:pPr>
        <w:spacing w:after="240"/>
        <w:jc w:val="both"/>
      </w:pPr>
      <w:r>
        <w:t>The [</w:t>
      </w:r>
      <w:r w:rsidRPr="00D3282A">
        <w:rPr>
          <w:i/>
          <w:iCs/>
        </w:rPr>
        <w:t>school leader</w:t>
      </w:r>
      <w:r>
        <w:t xml:space="preserve">] or his/her designee shall develop a code of conduct for coaches. </w:t>
      </w:r>
    </w:p>
    <w:p w:rsidRPr="00D3282A" w:rsidR="00DB0869" w:rsidP="00626FCD" w:rsidRDefault="00DB0869" w14:paraId="67433CA0" w14:textId="08189F2A">
      <w:pPr>
        <w:spacing w:after="240"/>
        <w:jc w:val="both"/>
      </w:pPr>
      <w:r>
        <w:t>Employees, coaches, and volunteers shall not encourage, permit, condone, or tolerate hazing activities.</w:t>
      </w:r>
    </w:p>
    <w:p w:rsidRPr="00FF2063" w:rsidR="00FF2063" w:rsidP="00626FCD" w:rsidRDefault="00FF2063" w14:paraId="53A9EC42" w14:textId="673DC314">
      <w:pPr>
        <w:spacing w:after="240"/>
        <w:jc w:val="both"/>
        <w:rPr>
          <w:i/>
          <w:iCs/>
        </w:rPr>
      </w:pPr>
      <w:r w:rsidRPr="00FF2063">
        <w:rPr>
          <w:i/>
          <w:iCs/>
        </w:rPr>
        <w:t>Severe Weather</w:t>
      </w:r>
      <w:r w:rsidR="00D3282A">
        <w:rPr>
          <w:rStyle w:val="FootnoteReference"/>
          <w:i/>
          <w:iCs/>
        </w:rPr>
        <w:footnoteReference w:id="8"/>
      </w:r>
    </w:p>
    <w:p w:rsidR="00D3282A" w:rsidP="00D3282A" w:rsidRDefault="00D3282A" w14:paraId="6506F49B" w14:textId="77777777">
      <w:pPr>
        <w:spacing w:after="240"/>
        <w:jc w:val="both"/>
      </w:pPr>
      <w:r>
        <w:t xml:space="preserve">Severe weather is any type of weather that could impede the safety of any athlete by compromising the playing conditions of the interscholastic sport. Severe weather includes, but is not limited to, thunder, lightning, and extreme temperatures. When severe weather is forecasted, suspension of play shall be discussed with all players, coaches, and officials, if applicable. </w:t>
      </w:r>
    </w:p>
    <w:p w:rsidR="007B12DA" w:rsidP="00D3282A" w:rsidRDefault="00D3282A" w14:paraId="71B1E9A8" w14:textId="460265C4">
      <w:pPr>
        <w:spacing w:after="240"/>
        <w:jc w:val="both"/>
      </w:pPr>
      <w:r>
        <w:t>All coaches who oversee or participate in outdoor training, practice, or competition shall annually complete a heat illness prevention course approved by the Tennessee Department of Health as well as receive training on activity modifications based on environmental conditions.</w:t>
      </w:r>
    </w:p>
    <w:p w:rsidR="00ED010A" w:rsidP="00D3282A" w:rsidRDefault="00ED010A" w14:paraId="6A8B3426" w14:textId="77777777">
      <w:pPr>
        <w:spacing w:after="240"/>
        <w:jc w:val="both"/>
      </w:pPr>
    </w:p>
    <w:p w:rsidRPr="00ED010A" w:rsidR="00ED010A" w:rsidP="00D3282A" w:rsidRDefault="00ED010A" w14:paraId="1A31C3F1" w14:textId="13174E25">
      <w:pPr>
        <w:spacing w:after="240"/>
        <w:jc w:val="both"/>
        <w:rPr>
          <w:i/>
          <w:iCs/>
        </w:rPr>
      </w:pPr>
      <w:r w:rsidRPr="00ED010A">
        <w:rPr>
          <w:i/>
          <w:iCs/>
        </w:rPr>
        <w:t xml:space="preserve">[Note: </w:t>
      </w:r>
      <w:r>
        <w:rPr>
          <w:i/>
          <w:iCs/>
        </w:rPr>
        <w:t xml:space="preserve">There has been litigation involving Tennessee Code Annotated section 49-6-10 (relative to determining student gender for purposes of participation in athletics) and coinciding State Board of Education Rules. </w:t>
      </w:r>
      <w:r w:rsidRPr="00ED010A">
        <w:rPr>
          <w:i/>
          <w:iCs/>
          <w:u w:val="single"/>
        </w:rPr>
        <w:t>See</w:t>
      </w:r>
      <w:r>
        <w:rPr>
          <w:i/>
          <w:iCs/>
        </w:rPr>
        <w:t xml:space="preserve"> </w:t>
      </w:r>
      <w:r w:rsidRPr="00DB0869">
        <w:rPr>
          <w:i/>
          <w:iCs/>
          <w:u w:val="single"/>
        </w:rPr>
        <w:t xml:space="preserve">L.E. ex </w:t>
      </w:r>
      <w:proofErr w:type="spellStart"/>
      <w:r w:rsidRPr="00DB0869">
        <w:rPr>
          <w:i/>
          <w:iCs/>
          <w:u w:val="single"/>
        </w:rPr>
        <w:t>rel</w:t>
      </w:r>
      <w:proofErr w:type="spellEnd"/>
      <w:r w:rsidRPr="00DB0869">
        <w:rPr>
          <w:i/>
          <w:iCs/>
          <w:u w:val="single"/>
        </w:rPr>
        <w:t xml:space="preserve"> Esquivel v. Lee</w:t>
      </w:r>
      <w:r>
        <w:rPr>
          <w:i/>
          <w:iCs/>
        </w:rPr>
        <w:t xml:space="preserve">, No. 3:21-cv-00835, 2024 WL 1349031 (M.D. Tenn. March 29, 2024). Schools are encouraged to </w:t>
      </w:r>
      <w:r w:rsidR="008474F2">
        <w:rPr>
          <w:i/>
          <w:iCs/>
        </w:rPr>
        <w:t>work with their</w:t>
      </w:r>
      <w:r>
        <w:rPr>
          <w:i/>
          <w:iCs/>
        </w:rPr>
        <w:t xml:space="preserve"> legal counsel to ensure that this policy is updated as needed.</w:t>
      </w:r>
      <w:r w:rsidR="008474F2">
        <w:rPr>
          <w:i/>
          <w:iCs/>
        </w:rPr>
        <w:t>]</w:t>
      </w:r>
    </w:p>
    <w:sectPr w:rsidRPr="00ED010A" w:rsidR="00ED010A" w:rsidSect="005B0D54">
      <w:headerReference w:type="default" r:id="rId8"/>
      <w:footerReference w:type="default" r:id="rId9"/>
      <w:pgSz w:w="12240" w:h="15840" w:orient="portrait"/>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41B52" w:rsidP="00D9626D" w:rsidRDefault="00641B52" w14:paraId="72053C52" w14:textId="77777777">
      <w:pPr>
        <w:spacing w:after="0" w:line="240" w:lineRule="auto"/>
      </w:pPr>
      <w:r>
        <w:separator/>
      </w:r>
    </w:p>
  </w:endnote>
  <w:endnote w:type="continuationSeparator" w:id="0">
    <w:p w:rsidR="00641B52" w:rsidP="00D9626D" w:rsidRDefault="00641B52" w14:paraId="591120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626D" w:rsidRDefault="00D9626D" w14:paraId="789B85A5" w14:textId="5A00DE94">
    <w:pPr>
      <w:pStyle w:val="Footer"/>
      <w:jc w:val="right"/>
    </w:pPr>
    <w:r>
      <w:t xml:space="preserve">Page </w:t>
    </w:r>
    <w:sdt>
      <w:sdtPr>
        <w:id w:val="-177359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9626D" w:rsidP="00D9626D" w:rsidRDefault="00D9626D" w14:paraId="076B6E2A" w14:textId="523E4804">
    <w:pPr>
      <w:pStyle w:val="Footer"/>
      <w:jc w:val="right"/>
    </w:pPr>
    <w:r>
      <w:t>Version Date: [insert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41B52" w:rsidP="00D9626D" w:rsidRDefault="00641B52" w14:paraId="60D6D2A5" w14:textId="77777777">
      <w:pPr>
        <w:spacing w:after="0" w:line="240" w:lineRule="auto"/>
      </w:pPr>
      <w:r>
        <w:separator/>
      </w:r>
    </w:p>
  </w:footnote>
  <w:footnote w:type="continuationSeparator" w:id="0">
    <w:p w:rsidR="00641B52" w:rsidP="00D9626D" w:rsidRDefault="00641B52" w14:paraId="5EA80D2D" w14:textId="77777777">
      <w:pPr>
        <w:spacing w:after="0" w:line="240" w:lineRule="auto"/>
      </w:pPr>
      <w:r>
        <w:continuationSeparator/>
      </w:r>
    </w:p>
  </w:footnote>
  <w:footnote w:id="1">
    <w:p w:rsidR="004D119F" w:rsidRDefault="004D119F" w14:paraId="1EAC7477" w14:textId="257024C8">
      <w:pPr>
        <w:pStyle w:val="FootnoteText"/>
      </w:pPr>
      <w:r>
        <w:rPr>
          <w:rStyle w:val="FootnoteReference"/>
        </w:rPr>
        <w:footnoteRef/>
      </w:r>
      <w:r>
        <w:t xml:space="preserve"> Tenn. Code Ann. §§ 49-6-3601; 68-55-501</w:t>
      </w:r>
      <w:r w:rsidR="005072E2">
        <w:t>; 66-6-102</w:t>
      </w:r>
    </w:p>
  </w:footnote>
  <w:footnote w:id="2">
    <w:p w:rsidR="00ED010A" w:rsidRDefault="00ED010A" w14:paraId="6972F05D" w14:textId="76DDD8EC">
      <w:pPr>
        <w:pStyle w:val="FootnoteText"/>
      </w:pPr>
      <w:r>
        <w:rPr>
          <w:rStyle w:val="FootnoteReference"/>
        </w:rPr>
        <w:footnoteRef/>
      </w:r>
      <w:r>
        <w:t xml:space="preserve"> TRR/MS 0520-01-23</w:t>
      </w:r>
    </w:p>
  </w:footnote>
  <w:footnote w:id="3">
    <w:p w:rsidR="007B12DA" w:rsidRDefault="007B12DA" w14:paraId="6795DB12" w14:textId="204C0864">
      <w:pPr>
        <w:pStyle w:val="FootnoteText"/>
      </w:pPr>
      <w:r>
        <w:rPr>
          <w:rStyle w:val="FootnoteReference"/>
        </w:rPr>
        <w:footnoteRef/>
      </w:r>
      <w:r>
        <w:t xml:space="preserve"> 34 CFR § 106.41; 20 USCA § 1681 et seq.</w:t>
      </w:r>
    </w:p>
  </w:footnote>
  <w:footnote w:id="4">
    <w:p w:rsidR="007B12DA" w:rsidRDefault="007B12DA" w14:paraId="08A8AAAA" w14:textId="7A36098B">
      <w:pPr>
        <w:pStyle w:val="FootnoteText"/>
      </w:pPr>
      <w:r>
        <w:rPr>
          <w:rStyle w:val="FootnoteReference"/>
        </w:rPr>
        <w:footnoteRef/>
      </w:r>
      <w:r>
        <w:t xml:space="preserve"> Tenn. Code Ann. § 49-6-310(a)</w:t>
      </w:r>
    </w:p>
  </w:footnote>
  <w:footnote w:id="5">
    <w:p w:rsidR="00D3282A" w:rsidP="00D3282A" w:rsidRDefault="00D3282A" w14:paraId="2DAC4589" w14:textId="4696916E">
      <w:pPr>
        <w:pStyle w:val="FootnoteText"/>
      </w:pPr>
      <w:r>
        <w:rPr>
          <w:rStyle w:val="FootnoteReference"/>
        </w:rPr>
        <w:footnoteRef/>
      </w:r>
      <w:r>
        <w:t xml:space="preserve"> </w:t>
      </w:r>
      <w:r w:rsidRPr="00626FCD">
        <w:t>Tenn. Code Ann. §</w:t>
      </w:r>
      <w:r w:rsidR="00591489">
        <w:t xml:space="preserve"> </w:t>
      </w:r>
      <w:r w:rsidRPr="00626FCD">
        <w:t>49-6-3601(b)</w:t>
      </w:r>
    </w:p>
  </w:footnote>
  <w:footnote w:id="6">
    <w:p w:rsidR="00591489" w:rsidRDefault="00591489" w14:paraId="13C9F938" w14:textId="0A2C47A3">
      <w:pPr>
        <w:pStyle w:val="FootnoteText"/>
      </w:pPr>
      <w:r>
        <w:rPr>
          <w:rStyle w:val="FootnoteReference"/>
        </w:rPr>
        <w:footnoteRef/>
      </w:r>
      <w:r>
        <w:t xml:space="preserve"> Tenn. Code Ann. § 49-6-3601(b)</w:t>
      </w:r>
    </w:p>
  </w:footnote>
  <w:footnote w:id="7">
    <w:p w:rsidR="00CE47F9" w:rsidP="00CE47F9" w:rsidRDefault="00CE47F9" w14:paraId="4BE67435" w14:textId="77777777">
      <w:pPr>
        <w:pStyle w:val="FootnoteText"/>
      </w:pPr>
      <w:r>
        <w:rPr>
          <w:rStyle w:val="FootnoteReference"/>
        </w:rPr>
        <w:footnoteRef/>
      </w:r>
      <w:r>
        <w:t xml:space="preserve"> Tenn. Code Ann. §49-6-3601(b)</w:t>
      </w:r>
    </w:p>
  </w:footnote>
  <w:footnote w:id="8">
    <w:p w:rsidR="00D3282A" w:rsidRDefault="00D3282A" w14:paraId="4771C04A" w14:textId="44C1F89B">
      <w:pPr>
        <w:pStyle w:val="FootnoteText"/>
      </w:pPr>
      <w:r>
        <w:rPr>
          <w:rStyle w:val="FootnoteReference"/>
        </w:rPr>
        <w:footnoteRef/>
      </w:r>
      <w:r>
        <w:t xml:space="preserve"> </w:t>
      </w:r>
      <w:r w:rsidRPr="00CE47F9" w:rsidR="00CE47F9">
        <w:t>Tenn. Code Ann. §49-6-3601(b)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626D" w:rsidP="00D9626D" w:rsidRDefault="00890A0F" w14:paraId="2593FE4E" w14:textId="321D9297">
    <w:pPr>
      <w:pStyle w:val="Header"/>
    </w:pPr>
    <w:r w:rsidR="26DAC08B">
      <w:rPr/>
      <w:t>Inter</w:t>
    </w:r>
    <w:r w:rsidR="26DAC08B">
      <w:rPr/>
      <w:t>scholastic Athletics</w:t>
    </w:r>
    <w:r>
      <w:tab/>
    </w:r>
    <w:r w:rsidR="26DAC08B">
      <w:rPr/>
      <w:t xml:space="preserve">                                                                                                                                    </w:t>
    </w:r>
    <w:r w:rsidR="26DAC08B">
      <w:rPr/>
      <w:t xml:space="preserve">Policy </w:t>
    </w:r>
    <w:r w:rsidR="26DAC08B">
      <w:rPr/>
      <w:t>3</w:t>
    </w:r>
    <w:r w:rsidR="26DAC08B">
      <w:rPr/>
      <w:t>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1458"/>
    <w:multiLevelType w:val="hybridMultilevel"/>
    <w:tmpl w:val="C89C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E16BD"/>
    <w:multiLevelType w:val="hybridMultilevel"/>
    <w:tmpl w:val="A1A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60CD0"/>
    <w:multiLevelType w:val="hybridMultilevel"/>
    <w:tmpl w:val="D59E9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16F4F"/>
    <w:multiLevelType w:val="hybridMultilevel"/>
    <w:tmpl w:val="AA8C4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97BCE"/>
    <w:multiLevelType w:val="hybridMultilevel"/>
    <w:tmpl w:val="0352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374FB"/>
    <w:multiLevelType w:val="hybridMultilevel"/>
    <w:tmpl w:val="F60CF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E397E"/>
    <w:multiLevelType w:val="hybridMultilevel"/>
    <w:tmpl w:val="06CA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A5DBF"/>
    <w:multiLevelType w:val="hybridMultilevel"/>
    <w:tmpl w:val="8354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F072B"/>
    <w:multiLevelType w:val="hybridMultilevel"/>
    <w:tmpl w:val="67C6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A43FB"/>
    <w:multiLevelType w:val="hybridMultilevel"/>
    <w:tmpl w:val="E06643D8"/>
    <w:lvl w:ilvl="0" w:tplc="29B0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D01704"/>
    <w:multiLevelType w:val="hybridMultilevel"/>
    <w:tmpl w:val="C736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0164E"/>
    <w:multiLevelType w:val="hybridMultilevel"/>
    <w:tmpl w:val="75B41740"/>
    <w:lvl w:ilvl="0" w:tplc="3918D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9B1872"/>
    <w:multiLevelType w:val="hybridMultilevel"/>
    <w:tmpl w:val="F5FE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F4541"/>
    <w:multiLevelType w:val="hybridMultilevel"/>
    <w:tmpl w:val="953C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3551D"/>
    <w:multiLevelType w:val="hybridMultilevel"/>
    <w:tmpl w:val="3FD05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AB62C5"/>
    <w:multiLevelType w:val="hybridMultilevel"/>
    <w:tmpl w:val="5DACF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4123C"/>
    <w:multiLevelType w:val="hybridMultilevel"/>
    <w:tmpl w:val="755CD2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41578585">
    <w:abstractNumId w:val="11"/>
  </w:num>
  <w:num w:numId="2" w16cid:durableId="1901672771">
    <w:abstractNumId w:val="4"/>
  </w:num>
  <w:num w:numId="3" w16cid:durableId="229386622">
    <w:abstractNumId w:val="16"/>
  </w:num>
  <w:num w:numId="4" w16cid:durableId="1346903013">
    <w:abstractNumId w:val="1"/>
  </w:num>
  <w:num w:numId="5" w16cid:durableId="910820292">
    <w:abstractNumId w:val="8"/>
  </w:num>
  <w:num w:numId="6" w16cid:durableId="209270066">
    <w:abstractNumId w:val="6"/>
  </w:num>
  <w:num w:numId="7" w16cid:durableId="1700475464">
    <w:abstractNumId w:val="15"/>
  </w:num>
  <w:num w:numId="8" w16cid:durableId="894239465">
    <w:abstractNumId w:val="3"/>
  </w:num>
  <w:num w:numId="9" w16cid:durableId="1838886373">
    <w:abstractNumId w:val="2"/>
  </w:num>
  <w:num w:numId="10" w16cid:durableId="1344933923">
    <w:abstractNumId w:val="13"/>
  </w:num>
  <w:num w:numId="11" w16cid:durableId="1129592107">
    <w:abstractNumId w:val="10"/>
  </w:num>
  <w:num w:numId="12" w16cid:durableId="1646277177">
    <w:abstractNumId w:val="5"/>
  </w:num>
  <w:num w:numId="13" w16cid:durableId="821846328">
    <w:abstractNumId w:val="0"/>
  </w:num>
  <w:num w:numId="14" w16cid:durableId="446698329">
    <w:abstractNumId w:val="12"/>
  </w:num>
  <w:num w:numId="15" w16cid:durableId="13583715">
    <w:abstractNumId w:val="14"/>
  </w:num>
  <w:num w:numId="16" w16cid:durableId="1745910729">
    <w:abstractNumId w:val="9"/>
  </w:num>
  <w:num w:numId="17" w16cid:durableId="61486741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CC"/>
    <w:rsid w:val="00001DB4"/>
    <w:rsid w:val="00020D7E"/>
    <w:rsid w:val="000261B2"/>
    <w:rsid w:val="0004185F"/>
    <w:rsid w:val="00051CAF"/>
    <w:rsid w:val="00054AED"/>
    <w:rsid w:val="000710AE"/>
    <w:rsid w:val="00073B99"/>
    <w:rsid w:val="000B3743"/>
    <w:rsid w:val="000C15E5"/>
    <w:rsid w:val="000C27D1"/>
    <w:rsid w:val="000D0DE2"/>
    <w:rsid w:val="000D1AA4"/>
    <w:rsid w:val="000D2B0D"/>
    <w:rsid w:val="001220E3"/>
    <w:rsid w:val="0012626C"/>
    <w:rsid w:val="00155E33"/>
    <w:rsid w:val="00192B41"/>
    <w:rsid w:val="001A20CA"/>
    <w:rsid w:val="00252CAA"/>
    <w:rsid w:val="002941ED"/>
    <w:rsid w:val="002A3AC2"/>
    <w:rsid w:val="002D1AB5"/>
    <w:rsid w:val="00304674"/>
    <w:rsid w:val="00312627"/>
    <w:rsid w:val="00317212"/>
    <w:rsid w:val="00344B87"/>
    <w:rsid w:val="00381235"/>
    <w:rsid w:val="003B393F"/>
    <w:rsid w:val="003C2D5A"/>
    <w:rsid w:val="003F2083"/>
    <w:rsid w:val="003F6CF1"/>
    <w:rsid w:val="0040602D"/>
    <w:rsid w:val="00421E19"/>
    <w:rsid w:val="00426A8F"/>
    <w:rsid w:val="00437007"/>
    <w:rsid w:val="00482558"/>
    <w:rsid w:val="004922DA"/>
    <w:rsid w:val="004D119F"/>
    <w:rsid w:val="004E68FB"/>
    <w:rsid w:val="004F291A"/>
    <w:rsid w:val="004F6277"/>
    <w:rsid w:val="005072E2"/>
    <w:rsid w:val="00553907"/>
    <w:rsid w:val="005669C2"/>
    <w:rsid w:val="00574CC6"/>
    <w:rsid w:val="00576043"/>
    <w:rsid w:val="00591489"/>
    <w:rsid w:val="005A17B1"/>
    <w:rsid w:val="005B0D54"/>
    <w:rsid w:val="005E5FFB"/>
    <w:rsid w:val="005F1EC0"/>
    <w:rsid w:val="00605BBC"/>
    <w:rsid w:val="00607F9D"/>
    <w:rsid w:val="006203FF"/>
    <w:rsid w:val="00626FCD"/>
    <w:rsid w:val="00641B52"/>
    <w:rsid w:val="00677169"/>
    <w:rsid w:val="006F65CF"/>
    <w:rsid w:val="007127C0"/>
    <w:rsid w:val="00745C1A"/>
    <w:rsid w:val="0075240B"/>
    <w:rsid w:val="0076437C"/>
    <w:rsid w:val="007716A0"/>
    <w:rsid w:val="00776307"/>
    <w:rsid w:val="007A0809"/>
    <w:rsid w:val="007A123D"/>
    <w:rsid w:val="007B12DA"/>
    <w:rsid w:val="007C5D04"/>
    <w:rsid w:val="007E18FB"/>
    <w:rsid w:val="007F3C9A"/>
    <w:rsid w:val="00807B4F"/>
    <w:rsid w:val="008214C6"/>
    <w:rsid w:val="0082175F"/>
    <w:rsid w:val="008474F2"/>
    <w:rsid w:val="00852B37"/>
    <w:rsid w:val="008554F9"/>
    <w:rsid w:val="008652CC"/>
    <w:rsid w:val="00877B6B"/>
    <w:rsid w:val="00880533"/>
    <w:rsid w:val="00890A0F"/>
    <w:rsid w:val="00893984"/>
    <w:rsid w:val="008C219A"/>
    <w:rsid w:val="008C626D"/>
    <w:rsid w:val="00913944"/>
    <w:rsid w:val="009164DC"/>
    <w:rsid w:val="0093649F"/>
    <w:rsid w:val="009A514C"/>
    <w:rsid w:val="009E5160"/>
    <w:rsid w:val="00A1632A"/>
    <w:rsid w:val="00A21D23"/>
    <w:rsid w:val="00A35D58"/>
    <w:rsid w:val="00A41BB8"/>
    <w:rsid w:val="00A86E3D"/>
    <w:rsid w:val="00AF202E"/>
    <w:rsid w:val="00B41F0A"/>
    <w:rsid w:val="00B42E6A"/>
    <w:rsid w:val="00B829D0"/>
    <w:rsid w:val="00B84BF3"/>
    <w:rsid w:val="00BA0ACD"/>
    <w:rsid w:val="00BB12BC"/>
    <w:rsid w:val="00BB2AB5"/>
    <w:rsid w:val="00BE3A57"/>
    <w:rsid w:val="00C04381"/>
    <w:rsid w:val="00C12875"/>
    <w:rsid w:val="00C654CD"/>
    <w:rsid w:val="00C65616"/>
    <w:rsid w:val="00C7188F"/>
    <w:rsid w:val="00CA04E3"/>
    <w:rsid w:val="00CA1EE8"/>
    <w:rsid w:val="00CE47F9"/>
    <w:rsid w:val="00D07D55"/>
    <w:rsid w:val="00D3282A"/>
    <w:rsid w:val="00D4584F"/>
    <w:rsid w:val="00D46D09"/>
    <w:rsid w:val="00D54424"/>
    <w:rsid w:val="00D65725"/>
    <w:rsid w:val="00D9626D"/>
    <w:rsid w:val="00DB0869"/>
    <w:rsid w:val="00DB521B"/>
    <w:rsid w:val="00DE2E2F"/>
    <w:rsid w:val="00E1747B"/>
    <w:rsid w:val="00E51477"/>
    <w:rsid w:val="00E829DC"/>
    <w:rsid w:val="00E84CB0"/>
    <w:rsid w:val="00E912FB"/>
    <w:rsid w:val="00ED010A"/>
    <w:rsid w:val="00EE721F"/>
    <w:rsid w:val="00EF5C9D"/>
    <w:rsid w:val="00F21998"/>
    <w:rsid w:val="00F34957"/>
    <w:rsid w:val="00F41041"/>
    <w:rsid w:val="00F7215E"/>
    <w:rsid w:val="00F91F15"/>
    <w:rsid w:val="00FB6E25"/>
    <w:rsid w:val="00FF2063"/>
    <w:rsid w:val="0A450E20"/>
    <w:rsid w:val="26DAC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96"/>
  <w15:chartTrackingRefBased/>
  <w15:docId w15:val="{87E53402-976D-45EE-8059-FD433D8882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52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2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52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52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52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52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52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52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52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52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52CC"/>
    <w:rPr>
      <w:rFonts w:eastAsiaTheme="majorEastAsia" w:cstheme="majorBidi"/>
      <w:color w:val="272727" w:themeColor="text1" w:themeTint="D8"/>
    </w:rPr>
  </w:style>
  <w:style w:type="paragraph" w:styleId="Title">
    <w:name w:val="Title"/>
    <w:basedOn w:val="Normal"/>
    <w:next w:val="Normal"/>
    <w:link w:val="TitleChar"/>
    <w:uiPriority w:val="10"/>
    <w:qFormat/>
    <w:rsid w:val="008652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52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52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CC"/>
    <w:pPr>
      <w:spacing w:before="160"/>
      <w:jc w:val="center"/>
    </w:pPr>
    <w:rPr>
      <w:i/>
      <w:iCs/>
      <w:color w:val="404040" w:themeColor="text1" w:themeTint="BF"/>
    </w:rPr>
  </w:style>
  <w:style w:type="character" w:styleId="QuoteChar" w:customStyle="1">
    <w:name w:val="Quote Char"/>
    <w:basedOn w:val="DefaultParagraphFont"/>
    <w:link w:val="Quote"/>
    <w:uiPriority w:val="29"/>
    <w:rsid w:val="008652CC"/>
    <w:rPr>
      <w:i/>
      <w:iCs/>
      <w:color w:val="404040" w:themeColor="text1" w:themeTint="BF"/>
    </w:rPr>
  </w:style>
  <w:style w:type="paragraph" w:styleId="ListParagraph">
    <w:name w:val="List Paragraph"/>
    <w:basedOn w:val="Normal"/>
    <w:uiPriority w:val="34"/>
    <w:qFormat/>
    <w:rsid w:val="008652CC"/>
    <w:pPr>
      <w:ind w:left="720"/>
      <w:contextualSpacing/>
    </w:pPr>
  </w:style>
  <w:style w:type="character" w:styleId="IntenseEmphasis">
    <w:name w:val="Intense Emphasis"/>
    <w:basedOn w:val="DefaultParagraphFont"/>
    <w:uiPriority w:val="21"/>
    <w:qFormat/>
    <w:rsid w:val="008652CC"/>
    <w:rPr>
      <w:i/>
      <w:iCs/>
      <w:color w:val="0F4761" w:themeColor="accent1" w:themeShade="BF"/>
    </w:rPr>
  </w:style>
  <w:style w:type="paragraph" w:styleId="IntenseQuote">
    <w:name w:val="Intense Quote"/>
    <w:basedOn w:val="Normal"/>
    <w:next w:val="Normal"/>
    <w:link w:val="IntenseQuoteChar"/>
    <w:uiPriority w:val="30"/>
    <w:qFormat/>
    <w:rsid w:val="008652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52CC"/>
    <w:rPr>
      <w:i/>
      <w:iCs/>
      <w:color w:val="0F4761" w:themeColor="accent1" w:themeShade="BF"/>
    </w:rPr>
  </w:style>
  <w:style w:type="character" w:styleId="IntenseReference">
    <w:name w:val="Intense Reference"/>
    <w:basedOn w:val="DefaultParagraphFont"/>
    <w:uiPriority w:val="32"/>
    <w:qFormat/>
    <w:rsid w:val="008652CC"/>
    <w:rPr>
      <w:b/>
      <w:bCs/>
      <w:smallCaps/>
      <w:color w:val="0F4761" w:themeColor="accent1" w:themeShade="BF"/>
      <w:spacing w:val="5"/>
    </w:rPr>
  </w:style>
  <w:style w:type="table" w:styleId="TableGrid">
    <w:name w:val="Table Grid"/>
    <w:basedOn w:val="TableNormal"/>
    <w:uiPriority w:val="39"/>
    <w:rsid w:val="005760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962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626D"/>
  </w:style>
  <w:style w:type="paragraph" w:styleId="Footer">
    <w:name w:val="footer"/>
    <w:basedOn w:val="Normal"/>
    <w:link w:val="FooterChar"/>
    <w:uiPriority w:val="99"/>
    <w:unhideWhenUsed/>
    <w:rsid w:val="00D962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626D"/>
  </w:style>
  <w:style w:type="character" w:styleId="LineNumber">
    <w:name w:val="line number"/>
    <w:basedOn w:val="DefaultParagraphFont"/>
    <w:uiPriority w:val="99"/>
    <w:semiHidden/>
    <w:unhideWhenUsed/>
    <w:rsid w:val="005B0D54"/>
  </w:style>
  <w:style w:type="paragraph" w:styleId="FootnoteText">
    <w:name w:val="footnote text"/>
    <w:basedOn w:val="Normal"/>
    <w:link w:val="FootnoteTextChar"/>
    <w:uiPriority w:val="99"/>
    <w:semiHidden/>
    <w:unhideWhenUsed/>
    <w:rsid w:val="005F1EC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F1EC0"/>
    <w:rPr>
      <w:sz w:val="20"/>
      <w:szCs w:val="20"/>
    </w:rPr>
  </w:style>
  <w:style w:type="character" w:styleId="FootnoteReference">
    <w:name w:val="footnote reference"/>
    <w:basedOn w:val="DefaultParagraphFont"/>
    <w:uiPriority w:val="99"/>
    <w:semiHidden/>
    <w:unhideWhenUsed/>
    <w:rsid w:val="005F1EC0"/>
    <w:rPr>
      <w:vertAlign w:val="superscript"/>
    </w:rPr>
  </w:style>
  <w:style w:type="paragraph" w:styleId="NormalWeb">
    <w:name w:val="Normal (Web)"/>
    <w:basedOn w:val="Normal"/>
    <w:uiPriority w:val="99"/>
    <w:semiHidden/>
    <w:unhideWhenUsed/>
    <w:rsid w:val="009164DC"/>
    <w:rPr>
      <w:rFonts w:ascii="Times New Roman" w:hAnsi="Times New Roman" w:cs="Times New Roman"/>
      <w:sz w:val="24"/>
      <w:szCs w:val="24"/>
    </w:rPr>
  </w:style>
  <w:style w:type="character" w:styleId="Hyperlink">
    <w:name w:val="Hyperlink"/>
    <w:basedOn w:val="DefaultParagraphFont"/>
    <w:uiPriority w:val="99"/>
    <w:unhideWhenUsed/>
    <w:rsid w:val="00A1632A"/>
    <w:rPr>
      <w:color w:val="467886" w:themeColor="hyperlink"/>
      <w:u w:val="single"/>
    </w:rPr>
  </w:style>
  <w:style w:type="character" w:styleId="UnresolvedMention">
    <w:name w:val="Unresolved Mention"/>
    <w:basedOn w:val="DefaultParagraphFont"/>
    <w:uiPriority w:val="99"/>
    <w:semiHidden/>
    <w:unhideWhenUsed/>
    <w:rsid w:val="00A16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2835">
      <w:bodyDiv w:val="1"/>
      <w:marLeft w:val="0"/>
      <w:marRight w:val="0"/>
      <w:marTop w:val="0"/>
      <w:marBottom w:val="0"/>
      <w:divBdr>
        <w:top w:val="none" w:sz="0" w:space="0" w:color="auto"/>
        <w:left w:val="none" w:sz="0" w:space="0" w:color="auto"/>
        <w:bottom w:val="none" w:sz="0" w:space="0" w:color="auto"/>
        <w:right w:val="none" w:sz="0" w:space="0" w:color="auto"/>
      </w:divBdr>
    </w:div>
    <w:div w:id="632827534">
      <w:bodyDiv w:val="1"/>
      <w:marLeft w:val="0"/>
      <w:marRight w:val="0"/>
      <w:marTop w:val="0"/>
      <w:marBottom w:val="0"/>
      <w:divBdr>
        <w:top w:val="none" w:sz="0" w:space="0" w:color="auto"/>
        <w:left w:val="none" w:sz="0" w:space="0" w:color="auto"/>
        <w:bottom w:val="none" w:sz="0" w:space="0" w:color="auto"/>
        <w:right w:val="none" w:sz="0" w:space="0" w:color="auto"/>
      </w:divBdr>
    </w:div>
    <w:div w:id="1454442099">
      <w:bodyDiv w:val="1"/>
      <w:marLeft w:val="0"/>
      <w:marRight w:val="0"/>
      <w:marTop w:val="0"/>
      <w:marBottom w:val="0"/>
      <w:divBdr>
        <w:top w:val="none" w:sz="0" w:space="0" w:color="auto"/>
        <w:left w:val="none" w:sz="0" w:space="0" w:color="auto"/>
        <w:bottom w:val="none" w:sz="0" w:space="0" w:color="auto"/>
        <w:right w:val="none" w:sz="0" w:space="0" w:color="auto"/>
      </w:divBdr>
    </w:div>
    <w:div w:id="18448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7F63-535B-4EAF-BD78-E5120356A4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Ally Lynch</dc:creator>
  <keywords/>
  <dc:description/>
  <lastModifiedBy>Ally Lynch</lastModifiedBy>
  <revision>3</revision>
  <dcterms:created xsi:type="dcterms:W3CDTF">2024-07-25T13:44:00.0000000Z</dcterms:created>
  <dcterms:modified xsi:type="dcterms:W3CDTF">2024-07-31T17:17:44.8626109Z</dcterms:modified>
</coreProperties>
</file>