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620"/>
        <w:gridCol w:w="1620"/>
        <w:gridCol w:w="1800"/>
        <w:gridCol w:w="2334"/>
      </w:tblGrid>
      <w:tr w:rsidR="00D9626D" w:rsidRPr="00F34957" w14:paraId="78C2F0C1" w14:textId="77777777" w:rsidTr="00D9626D">
        <w:trPr>
          <w:trHeight w:val="291"/>
        </w:trPr>
        <w:tc>
          <w:tcPr>
            <w:tcW w:w="9349" w:type="dxa"/>
            <w:gridSpan w:val="5"/>
          </w:tcPr>
          <w:p w14:paraId="419E80E0" w14:textId="650DDA31" w:rsidR="00D9626D" w:rsidRPr="00F34957" w:rsidRDefault="00D9626D" w:rsidP="00D9626D">
            <w:pPr>
              <w:jc w:val="center"/>
              <w:rPr>
                <w:b/>
                <w:bCs/>
                <w:sz w:val="24"/>
                <w:szCs w:val="24"/>
              </w:rPr>
            </w:pPr>
            <w:r w:rsidRPr="00F34957">
              <w:rPr>
                <w:b/>
                <w:bCs/>
                <w:sz w:val="24"/>
                <w:szCs w:val="24"/>
              </w:rPr>
              <w:t>[School Name]</w:t>
            </w:r>
          </w:p>
        </w:tc>
      </w:tr>
      <w:tr w:rsidR="00D9626D" w:rsidRPr="00F34957" w14:paraId="5B5C2B26" w14:textId="77777777" w:rsidTr="00D9626D">
        <w:trPr>
          <w:trHeight w:val="291"/>
        </w:trPr>
        <w:tc>
          <w:tcPr>
            <w:tcW w:w="9349" w:type="dxa"/>
            <w:gridSpan w:val="5"/>
          </w:tcPr>
          <w:p w14:paraId="2093A636" w14:textId="5130D749" w:rsidR="00D9626D" w:rsidRPr="00F34957" w:rsidRDefault="00877B6B" w:rsidP="00D962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Academic Acceleration</w:t>
            </w:r>
          </w:p>
        </w:tc>
      </w:tr>
      <w:tr w:rsidR="00D9626D" w:rsidRPr="00F34957" w14:paraId="0C240EA3" w14:textId="77777777" w:rsidTr="00001DB4">
        <w:trPr>
          <w:trHeight w:val="540"/>
        </w:trPr>
        <w:tc>
          <w:tcPr>
            <w:tcW w:w="1975" w:type="dxa"/>
          </w:tcPr>
          <w:p w14:paraId="7C762FDB" w14:textId="77777777" w:rsidR="00D9626D" w:rsidRPr="00F34957" w:rsidRDefault="00D9626D">
            <w:r w:rsidRPr="00F34957">
              <w:t xml:space="preserve">Policy Number: </w:t>
            </w:r>
          </w:p>
          <w:p w14:paraId="699B2514" w14:textId="4518F8FA" w:rsidR="005B0D54" w:rsidRPr="00F34957" w:rsidRDefault="003B393F">
            <w:r>
              <w:t>4</w:t>
            </w:r>
            <w:r w:rsidR="00607F9D">
              <w:t>805</w:t>
            </w:r>
          </w:p>
        </w:tc>
        <w:tc>
          <w:tcPr>
            <w:tcW w:w="1620" w:type="dxa"/>
          </w:tcPr>
          <w:p w14:paraId="4F1CC393" w14:textId="77777777" w:rsidR="00D9626D" w:rsidRPr="00F34957" w:rsidRDefault="00D9626D">
            <w:r w:rsidRPr="00F34957">
              <w:t>Date Issued:</w:t>
            </w:r>
          </w:p>
          <w:p w14:paraId="7FEA71F7" w14:textId="594DC4A2" w:rsidR="005B0D54" w:rsidRPr="00F34957" w:rsidRDefault="005B0D54"/>
        </w:tc>
        <w:tc>
          <w:tcPr>
            <w:tcW w:w="1620" w:type="dxa"/>
          </w:tcPr>
          <w:p w14:paraId="7A15DB4E" w14:textId="77777777" w:rsidR="00D9626D" w:rsidRPr="00F34957" w:rsidRDefault="00D9626D">
            <w:r w:rsidRPr="00F34957">
              <w:t>Date Revised:</w:t>
            </w:r>
          </w:p>
          <w:p w14:paraId="38F7B90E" w14:textId="003CA5FD" w:rsidR="005B0D54" w:rsidRPr="00F34957" w:rsidRDefault="005B0D54"/>
        </w:tc>
        <w:tc>
          <w:tcPr>
            <w:tcW w:w="1800" w:type="dxa"/>
          </w:tcPr>
          <w:p w14:paraId="7F7909CE" w14:textId="77777777" w:rsidR="00D9626D" w:rsidRPr="00F34957" w:rsidRDefault="00D9626D">
            <w:r w:rsidRPr="00F34957">
              <w:t>Date Rescinded:</w:t>
            </w:r>
          </w:p>
          <w:p w14:paraId="128331BE" w14:textId="2307DF03" w:rsidR="005B0D54" w:rsidRPr="00F34957" w:rsidRDefault="005B0D54"/>
        </w:tc>
        <w:tc>
          <w:tcPr>
            <w:tcW w:w="2334" w:type="dxa"/>
          </w:tcPr>
          <w:p w14:paraId="2607827B" w14:textId="77777777" w:rsidR="00D9626D" w:rsidRPr="00F34957" w:rsidRDefault="00D9626D">
            <w:r w:rsidRPr="00F34957">
              <w:t xml:space="preserve">Monitoring: </w:t>
            </w:r>
          </w:p>
          <w:p w14:paraId="4E180FD4" w14:textId="655487CE" w:rsidR="005B0D54" w:rsidRPr="00F34957" w:rsidRDefault="00020D7E">
            <w:r w:rsidRPr="00F34957">
              <w:t xml:space="preserve">Annually, in </w:t>
            </w:r>
            <w:r w:rsidR="005A17B1" w:rsidRPr="00F34957">
              <w:t>[month]</w:t>
            </w:r>
          </w:p>
        </w:tc>
      </w:tr>
    </w:tbl>
    <w:p w14:paraId="384CB619" w14:textId="3552EAA2" w:rsidR="00877B6B" w:rsidRPr="00877B6B" w:rsidRDefault="00877B6B" w:rsidP="003C2D5A">
      <w:pPr>
        <w:spacing w:before="360" w:after="240"/>
        <w:jc w:val="both"/>
        <w:rPr>
          <w:i/>
          <w:iCs/>
        </w:rPr>
      </w:pPr>
      <w:r w:rsidRPr="00877B6B">
        <w:rPr>
          <w:i/>
          <w:iCs/>
        </w:rPr>
        <w:t>General</w:t>
      </w:r>
    </w:p>
    <w:p w14:paraId="0CF258B5" w14:textId="3AA03156" w:rsidR="00877B6B" w:rsidRDefault="00877B6B" w:rsidP="00877B6B">
      <w:pPr>
        <w:spacing w:after="240"/>
        <w:jc w:val="both"/>
      </w:pPr>
      <w:r>
        <w:t>Students in grades seven through twelve (7-12) may enroll in available advanced courses, including, but not limited to, advanced English language arts, mathematics, or sciences courses.</w:t>
      </w:r>
      <w:r>
        <w:rPr>
          <w:rStyle w:val="FootnoteReference"/>
        </w:rPr>
        <w:footnoteReference w:id="1"/>
      </w:r>
    </w:p>
    <w:p w14:paraId="04679ADA" w14:textId="15CBD892" w:rsidR="005669C2" w:rsidRDefault="00877B6B" w:rsidP="00BB12BC">
      <w:pPr>
        <w:spacing w:after="240"/>
        <w:jc w:val="both"/>
      </w:pPr>
      <w:r>
        <w:t xml:space="preserve">To enroll in these courses, </w:t>
      </w:r>
      <w:r w:rsidR="00312627">
        <w:t>the following factors will be evaluated</w:t>
      </w:r>
      <w:r>
        <w:t>:</w:t>
      </w:r>
      <w:r w:rsidR="00EF5C9D">
        <w:rPr>
          <w:rStyle w:val="FootnoteReference"/>
        </w:rPr>
        <w:footnoteReference w:id="2"/>
      </w:r>
    </w:p>
    <w:p w14:paraId="13D8C95D" w14:textId="5F735062" w:rsidR="00312627" w:rsidRPr="00BB12BC" w:rsidRDefault="00312627" w:rsidP="00BB12BC">
      <w:pPr>
        <w:spacing w:after="240"/>
        <w:jc w:val="both"/>
        <w:rPr>
          <w:i/>
          <w:iCs/>
        </w:rPr>
      </w:pPr>
      <w:r w:rsidRPr="005669C2">
        <w:rPr>
          <w:i/>
          <w:iCs/>
        </w:rPr>
        <w:t xml:space="preserve">[Insert here the factors that should be considered when students are placed in advanced courses. Pursuant to state law, these factors </w:t>
      </w:r>
      <w:r w:rsidRPr="005669C2">
        <w:rPr>
          <w:b/>
          <w:bCs/>
          <w:i/>
          <w:iCs/>
        </w:rPr>
        <w:t>must</w:t>
      </w:r>
      <w:r w:rsidRPr="005669C2">
        <w:rPr>
          <w:i/>
          <w:iCs/>
        </w:rPr>
        <w:t xml:space="preserve"> include information relative to (1) the student’s performance on the most recent Tennessee comprehensive assessment program (TCAP) </w:t>
      </w:r>
      <w:r w:rsidRPr="005669C2">
        <w:rPr>
          <w:b/>
          <w:bCs/>
          <w:i/>
          <w:iCs/>
        </w:rPr>
        <w:t>AND</w:t>
      </w:r>
      <w:r w:rsidRPr="005669C2">
        <w:rPr>
          <w:i/>
          <w:iCs/>
        </w:rPr>
        <w:t xml:space="preserve"> (2) the student’s grades in the student’s English language arts, mathematics, or science courses. For </w:t>
      </w:r>
      <w:r w:rsidR="005669C2" w:rsidRPr="005669C2">
        <w:rPr>
          <w:i/>
          <w:iCs/>
        </w:rPr>
        <w:t xml:space="preserve">example, the policy may state that the student </w:t>
      </w:r>
      <w:r w:rsidR="005669C2">
        <w:rPr>
          <w:i/>
          <w:iCs/>
        </w:rPr>
        <w:t xml:space="preserve">exhibit course readiness by earning </w:t>
      </w:r>
      <w:r w:rsidR="005669C2" w:rsidRPr="005669C2">
        <w:rPr>
          <w:i/>
          <w:iCs/>
        </w:rPr>
        <w:t>a grade of 80 or higher and/or TCAP scores of on-</w:t>
      </w:r>
      <w:proofErr w:type="gramStart"/>
      <w:r w:rsidR="005669C2" w:rsidRPr="005669C2">
        <w:rPr>
          <w:i/>
          <w:iCs/>
        </w:rPr>
        <w:t>track</w:t>
      </w:r>
      <w:proofErr w:type="gramEnd"/>
      <w:r w:rsidR="005669C2" w:rsidRPr="005669C2">
        <w:rPr>
          <w:i/>
          <w:iCs/>
        </w:rPr>
        <w:t xml:space="preserve"> or mastery in the </w:t>
      </w:r>
      <w:r w:rsidR="005669C2">
        <w:rPr>
          <w:i/>
          <w:iCs/>
        </w:rPr>
        <w:t xml:space="preserve">prerequisite </w:t>
      </w:r>
      <w:r w:rsidR="005669C2" w:rsidRPr="005669C2">
        <w:rPr>
          <w:i/>
          <w:iCs/>
        </w:rPr>
        <w:t xml:space="preserve">academic course. </w:t>
      </w:r>
      <w:r w:rsidR="00BB12BC">
        <w:rPr>
          <w:i/>
          <w:iCs/>
        </w:rPr>
        <w:t>The Governing Body may also consider including factors such as</w:t>
      </w:r>
      <w:r w:rsidR="005669C2">
        <w:rPr>
          <w:i/>
          <w:iCs/>
        </w:rPr>
        <w:t xml:space="preserve"> attendance record, work ethic demonstrated in prerequisite courses, commitment to course expectations, and/or recommendations by a teacher or school counselor, etc.]</w:t>
      </w:r>
    </w:p>
    <w:p w14:paraId="3758CCE3" w14:textId="2310F1B5" w:rsidR="00312627" w:rsidRDefault="00312627" w:rsidP="00312627">
      <w:pPr>
        <w:spacing w:after="0"/>
        <w:jc w:val="both"/>
      </w:pPr>
      <w:r>
        <w:t xml:space="preserve">These standards are not all-inclusive and do not serve as a checklist. </w:t>
      </w:r>
      <w:r w:rsidR="005669C2">
        <w:t>The [school leader(s)] shall have the authority to consider additional factors to fit the needs and interests of students.</w:t>
      </w:r>
    </w:p>
    <w:p w14:paraId="68BD405A" w14:textId="2207085A" w:rsidR="00877B6B" w:rsidRPr="00877B6B" w:rsidRDefault="00877B6B" w:rsidP="003C2D5A">
      <w:pPr>
        <w:spacing w:before="360" w:after="240"/>
        <w:jc w:val="both"/>
        <w:rPr>
          <w:i/>
          <w:iCs/>
        </w:rPr>
      </w:pPr>
      <w:r w:rsidRPr="00877B6B">
        <w:rPr>
          <w:i/>
          <w:iCs/>
        </w:rPr>
        <w:t>Parental Notification</w:t>
      </w:r>
    </w:p>
    <w:p w14:paraId="4371210E" w14:textId="3BEFF94D" w:rsidR="00877B6B" w:rsidRDefault="005669C2" w:rsidP="00877B6B">
      <w:pPr>
        <w:spacing w:after="0"/>
        <w:jc w:val="both"/>
      </w:pPr>
      <w:r>
        <w:t>The school shall notify the student’s parent(s)/guardian(s) of the student’s eligibility to enroll in an advanced course, pursuant to this policy. The notice shall:</w:t>
      </w:r>
    </w:p>
    <w:p w14:paraId="50C3FC67" w14:textId="2ED5BC49" w:rsidR="005669C2" w:rsidRDefault="005669C2" w:rsidP="005669C2">
      <w:pPr>
        <w:pStyle w:val="ListParagraph"/>
        <w:numPr>
          <w:ilvl w:val="0"/>
          <w:numId w:val="11"/>
        </w:numPr>
        <w:spacing w:after="0"/>
        <w:jc w:val="both"/>
      </w:pPr>
      <w:r>
        <w:t xml:space="preserve">Be provided in </w:t>
      </w:r>
      <w:proofErr w:type="gramStart"/>
      <w:r>
        <w:t>writing;</w:t>
      </w:r>
      <w:proofErr w:type="gramEnd"/>
    </w:p>
    <w:p w14:paraId="7B78ED0B" w14:textId="37A4274F" w:rsidR="005669C2" w:rsidRDefault="005669C2" w:rsidP="005669C2">
      <w:pPr>
        <w:pStyle w:val="ListParagraph"/>
        <w:numPr>
          <w:ilvl w:val="0"/>
          <w:numId w:val="11"/>
        </w:numPr>
        <w:spacing w:after="0"/>
        <w:jc w:val="both"/>
      </w:pPr>
      <w:r>
        <w:t>Inform the student’s parent that the student, once enrolled, will remain enrolled unless the parent</w:t>
      </w:r>
      <w:r w:rsidR="00BB12BC">
        <w:t xml:space="preserve">/guardian </w:t>
      </w:r>
      <w:r>
        <w:t>requests</w:t>
      </w:r>
      <w:r w:rsidR="00BB12BC">
        <w:t>,</w:t>
      </w:r>
      <w:r>
        <w:t xml:space="preserve"> in writing</w:t>
      </w:r>
      <w:r w:rsidR="00BB12BC">
        <w:t>,</w:t>
      </w:r>
      <w:r>
        <w:t xml:space="preserve"> that the student be removed from the course; and</w:t>
      </w:r>
    </w:p>
    <w:p w14:paraId="5A3C1092" w14:textId="4236346D" w:rsidR="005669C2" w:rsidRDefault="005669C2" w:rsidP="005669C2">
      <w:pPr>
        <w:pStyle w:val="ListParagraph"/>
        <w:numPr>
          <w:ilvl w:val="0"/>
          <w:numId w:val="11"/>
        </w:numPr>
        <w:spacing w:after="0"/>
        <w:jc w:val="both"/>
      </w:pPr>
      <w:r>
        <w:t>Provide a date by which the student’s parent</w:t>
      </w:r>
      <w:r w:rsidR="00BB12BC">
        <w:t>/guardian</w:t>
      </w:r>
      <w:r>
        <w:t xml:space="preserve"> must submit a written request to the school to remove the student from the advanced course.</w:t>
      </w:r>
      <w:r w:rsidR="00EF5C9D">
        <w:rPr>
          <w:rStyle w:val="FootnoteReference"/>
        </w:rPr>
        <w:footnoteReference w:id="3"/>
      </w:r>
    </w:p>
    <w:p w14:paraId="04231895" w14:textId="5B51C00A" w:rsidR="00877B6B" w:rsidRPr="00877B6B" w:rsidRDefault="00877B6B" w:rsidP="003C2D5A">
      <w:pPr>
        <w:spacing w:before="360" w:after="240"/>
        <w:jc w:val="both"/>
        <w:rPr>
          <w:i/>
          <w:iCs/>
        </w:rPr>
      </w:pPr>
      <w:r w:rsidRPr="00877B6B">
        <w:rPr>
          <w:i/>
          <w:iCs/>
        </w:rPr>
        <w:t>Removal from Advanced Courses</w:t>
      </w:r>
    </w:p>
    <w:p w14:paraId="2610C59C" w14:textId="79AC2E24" w:rsidR="00877B6B" w:rsidRDefault="00BB12BC" w:rsidP="00BB12BC">
      <w:pPr>
        <w:spacing w:after="240"/>
        <w:jc w:val="both"/>
      </w:pPr>
      <w:r>
        <w:t>Students may be removed from an advanced course for the following reasons:</w:t>
      </w:r>
    </w:p>
    <w:p w14:paraId="79025F26" w14:textId="380891F0" w:rsidR="00BB12BC" w:rsidRPr="00607F9D" w:rsidRDefault="00BB12BC" w:rsidP="00877B6B">
      <w:pPr>
        <w:spacing w:after="0"/>
        <w:jc w:val="both"/>
        <w:rPr>
          <w:i/>
          <w:iCs/>
        </w:rPr>
      </w:pPr>
      <w:r w:rsidRPr="00BB12BC">
        <w:rPr>
          <w:i/>
          <w:iCs/>
        </w:rPr>
        <w:t>[Insert here the factor(s) that may cause a student to be removed from an advanced course. For example,</w:t>
      </w:r>
      <w:r w:rsidR="00B0248C">
        <w:rPr>
          <w:i/>
          <w:iCs/>
        </w:rPr>
        <w:t xml:space="preserve"> “</w:t>
      </w:r>
      <w:r w:rsidRPr="00BB12BC">
        <w:rPr>
          <w:i/>
          <w:iCs/>
        </w:rPr>
        <w:t xml:space="preserve">a student may be removed because the teacher determines that doing so is appropriate in </w:t>
      </w:r>
      <w:r w:rsidRPr="00BB12BC">
        <w:rPr>
          <w:i/>
          <w:iCs/>
        </w:rPr>
        <w:lastRenderedPageBreak/>
        <w:t xml:space="preserve">light of the student’s performance within </w:t>
      </w:r>
      <w:r w:rsidR="00B0248C">
        <w:rPr>
          <w:i/>
          <w:iCs/>
        </w:rPr>
        <w:t>[</w:t>
      </w:r>
      <w:proofErr w:type="gramStart"/>
      <w:r w:rsidRPr="00BB12BC">
        <w:rPr>
          <w:i/>
          <w:iCs/>
        </w:rPr>
        <w:t>time-frame</w:t>
      </w:r>
      <w:proofErr w:type="gramEnd"/>
      <w:r w:rsidR="00B0248C">
        <w:rPr>
          <w:i/>
          <w:iCs/>
        </w:rPr>
        <w:t>]</w:t>
      </w:r>
      <w:r w:rsidRPr="00BB12BC">
        <w:rPr>
          <w:i/>
          <w:iCs/>
        </w:rPr>
        <w:t xml:space="preserve"> of instruction and the principal/dean/other school leader approves the request to remove the student.]</w:t>
      </w:r>
    </w:p>
    <w:sectPr w:rsidR="00BB12BC" w:rsidRPr="00607F9D" w:rsidSect="005B0D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4D0AE" w14:textId="77777777" w:rsidR="000F32F7" w:rsidRDefault="000F32F7" w:rsidP="00D9626D">
      <w:pPr>
        <w:spacing w:after="0" w:line="240" w:lineRule="auto"/>
      </w:pPr>
      <w:r>
        <w:separator/>
      </w:r>
    </w:p>
  </w:endnote>
  <w:endnote w:type="continuationSeparator" w:id="0">
    <w:p w14:paraId="05AEEC0C" w14:textId="77777777" w:rsidR="000F32F7" w:rsidRDefault="000F32F7" w:rsidP="00D9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85A5" w14:textId="5A00DE94" w:rsidR="00D9626D" w:rsidRDefault="00D9626D">
    <w:pPr>
      <w:pStyle w:val="Footer"/>
      <w:jc w:val="right"/>
    </w:pPr>
    <w:r>
      <w:t xml:space="preserve">Page </w:t>
    </w:r>
    <w:sdt>
      <w:sdtPr>
        <w:id w:val="-1773592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76B6E2A" w14:textId="523E4804" w:rsidR="00D9626D" w:rsidRDefault="00D9626D" w:rsidP="00D9626D">
    <w:pPr>
      <w:pStyle w:val="Footer"/>
      <w:jc w:val="right"/>
    </w:pPr>
    <w:r>
      <w:t>Version Date: [insert 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B407" w14:textId="77777777" w:rsidR="000F32F7" w:rsidRDefault="000F32F7" w:rsidP="00D9626D">
      <w:pPr>
        <w:spacing w:after="0" w:line="240" w:lineRule="auto"/>
      </w:pPr>
      <w:r>
        <w:separator/>
      </w:r>
    </w:p>
  </w:footnote>
  <w:footnote w:type="continuationSeparator" w:id="0">
    <w:p w14:paraId="73A6C2A0" w14:textId="77777777" w:rsidR="000F32F7" w:rsidRDefault="000F32F7" w:rsidP="00D9626D">
      <w:pPr>
        <w:spacing w:after="0" w:line="240" w:lineRule="auto"/>
      </w:pPr>
      <w:r>
        <w:continuationSeparator/>
      </w:r>
    </w:p>
  </w:footnote>
  <w:footnote w:id="1">
    <w:p w14:paraId="598BEE18" w14:textId="0AD4DFF1" w:rsidR="00877B6B" w:rsidRDefault="00877B6B">
      <w:pPr>
        <w:pStyle w:val="FootnoteText"/>
      </w:pPr>
      <w:r>
        <w:rPr>
          <w:rStyle w:val="FootnoteReference"/>
        </w:rPr>
        <w:footnoteRef/>
      </w:r>
      <w:r>
        <w:t xml:space="preserve"> Tenn. Code Ann. § 49-6-1012</w:t>
      </w:r>
      <w:r w:rsidR="00EF5C9D">
        <w:t>(b)</w:t>
      </w:r>
    </w:p>
  </w:footnote>
  <w:footnote w:id="2">
    <w:p w14:paraId="48401475" w14:textId="551DCA7C" w:rsidR="00EF5C9D" w:rsidRDefault="00EF5C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5C9D">
        <w:rPr>
          <w:i/>
          <w:iCs/>
        </w:rPr>
        <w:t>Id.</w:t>
      </w:r>
      <w:r>
        <w:t xml:space="preserve"> at (c)</w:t>
      </w:r>
    </w:p>
  </w:footnote>
  <w:footnote w:id="3">
    <w:p w14:paraId="348613F6" w14:textId="4060A045" w:rsidR="00EF5C9D" w:rsidRDefault="00EF5C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5C9D">
        <w:rPr>
          <w:i/>
          <w:iCs/>
        </w:rPr>
        <w:t>Id.</w:t>
      </w:r>
      <w:r>
        <w:t xml:space="preserve"> at (e)(2)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FE4E" w14:textId="60964986" w:rsidR="00D9626D" w:rsidRDefault="00877B6B" w:rsidP="00D9626D">
    <w:pPr>
      <w:pStyle w:val="Header"/>
    </w:pPr>
    <w:r>
      <w:t>Academic Acceleration</w:t>
    </w:r>
    <w:r w:rsidR="00D9626D">
      <w:tab/>
    </w:r>
    <w:r w:rsidR="00D9626D">
      <w:tab/>
      <w:t xml:space="preserve">Policy </w:t>
    </w:r>
    <w:r w:rsidR="00607F9D">
      <w:t>4805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E16BD"/>
    <w:multiLevelType w:val="hybridMultilevel"/>
    <w:tmpl w:val="A1AE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CD0"/>
    <w:multiLevelType w:val="hybridMultilevel"/>
    <w:tmpl w:val="D59E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F"/>
    <w:multiLevelType w:val="hybridMultilevel"/>
    <w:tmpl w:val="AA8C4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BCE"/>
    <w:multiLevelType w:val="hybridMultilevel"/>
    <w:tmpl w:val="035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E397E"/>
    <w:multiLevelType w:val="hybridMultilevel"/>
    <w:tmpl w:val="06CAC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072B"/>
    <w:multiLevelType w:val="hybridMultilevel"/>
    <w:tmpl w:val="67C68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01704"/>
    <w:multiLevelType w:val="hybridMultilevel"/>
    <w:tmpl w:val="C7360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0164E"/>
    <w:multiLevelType w:val="hybridMultilevel"/>
    <w:tmpl w:val="75B41740"/>
    <w:lvl w:ilvl="0" w:tplc="3918D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CF4541"/>
    <w:multiLevelType w:val="hybridMultilevel"/>
    <w:tmpl w:val="953CB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B62C5"/>
    <w:multiLevelType w:val="hybridMultilevel"/>
    <w:tmpl w:val="5DACF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4123C"/>
    <w:multiLevelType w:val="hybridMultilevel"/>
    <w:tmpl w:val="755C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78585">
    <w:abstractNumId w:val="7"/>
  </w:num>
  <w:num w:numId="2" w16cid:durableId="1901672771">
    <w:abstractNumId w:val="3"/>
  </w:num>
  <w:num w:numId="3" w16cid:durableId="229386622">
    <w:abstractNumId w:val="10"/>
  </w:num>
  <w:num w:numId="4" w16cid:durableId="1346903013">
    <w:abstractNumId w:val="0"/>
  </w:num>
  <w:num w:numId="5" w16cid:durableId="910820292">
    <w:abstractNumId w:val="5"/>
  </w:num>
  <w:num w:numId="6" w16cid:durableId="209270066">
    <w:abstractNumId w:val="4"/>
  </w:num>
  <w:num w:numId="7" w16cid:durableId="1700475464">
    <w:abstractNumId w:val="9"/>
  </w:num>
  <w:num w:numId="8" w16cid:durableId="894239465">
    <w:abstractNumId w:val="2"/>
  </w:num>
  <w:num w:numId="9" w16cid:durableId="1838886373">
    <w:abstractNumId w:val="1"/>
  </w:num>
  <w:num w:numId="10" w16cid:durableId="1344933923">
    <w:abstractNumId w:val="8"/>
  </w:num>
  <w:num w:numId="11" w16cid:durableId="1129592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CC"/>
    <w:rsid w:val="00001DB4"/>
    <w:rsid w:val="00020D7E"/>
    <w:rsid w:val="0004185F"/>
    <w:rsid w:val="00054AED"/>
    <w:rsid w:val="000710AE"/>
    <w:rsid w:val="00073B99"/>
    <w:rsid w:val="000D0DE2"/>
    <w:rsid w:val="000D1AA4"/>
    <w:rsid w:val="000D2B0D"/>
    <w:rsid w:val="000F32F7"/>
    <w:rsid w:val="001220E3"/>
    <w:rsid w:val="00155E33"/>
    <w:rsid w:val="00232B08"/>
    <w:rsid w:val="00304674"/>
    <w:rsid w:val="00312627"/>
    <w:rsid w:val="00317212"/>
    <w:rsid w:val="00344B87"/>
    <w:rsid w:val="003B393F"/>
    <w:rsid w:val="003C2D5A"/>
    <w:rsid w:val="00421E19"/>
    <w:rsid w:val="00426A8F"/>
    <w:rsid w:val="00437007"/>
    <w:rsid w:val="00482558"/>
    <w:rsid w:val="004979A6"/>
    <w:rsid w:val="004F291A"/>
    <w:rsid w:val="004F6277"/>
    <w:rsid w:val="00553907"/>
    <w:rsid w:val="005669C2"/>
    <w:rsid w:val="00576043"/>
    <w:rsid w:val="005A17B1"/>
    <w:rsid w:val="005B0D54"/>
    <w:rsid w:val="005E5FFB"/>
    <w:rsid w:val="005F1EC0"/>
    <w:rsid w:val="00605BBC"/>
    <w:rsid w:val="00607F9D"/>
    <w:rsid w:val="006203FF"/>
    <w:rsid w:val="00677169"/>
    <w:rsid w:val="006F65CF"/>
    <w:rsid w:val="00745C1A"/>
    <w:rsid w:val="007716A0"/>
    <w:rsid w:val="007A0809"/>
    <w:rsid w:val="007E18FB"/>
    <w:rsid w:val="00807B4F"/>
    <w:rsid w:val="008214C6"/>
    <w:rsid w:val="0082175F"/>
    <w:rsid w:val="008554F9"/>
    <w:rsid w:val="008652CC"/>
    <w:rsid w:val="00877B6B"/>
    <w:rsid w:val="00893984"/>
    <w:rsid w:val="008C219A"/>
    <w:rsid w:val="009164DC"/>
    <w:rsid w:val="009E5160"/>
    <w:rsid w:val="00A21D23"/>
    <w:rsid w:val="00A41BB8"/>
    <w:rsid w:val="00A86E3D"/>
    <w:rsid w:val="00AF202E"/>
    <w:rsid w:val="00B0248C"/>
    <w:rsid w:val="00B41F0A"/>
    <w:rsid w:val="00B42E6A"/>
    <w:rsid w:val="00B829D0"/>
    <w:rsid w:val="00BA0ACD"/>
    <w:rsid w:val="00BB12BC"/>
    <w:rsid w:val="00BB2AB5"/>
    <w:rsid w:val="00C04381"/>
    <w:rsid w:val="00C12875"/>
    <w:rsid w:val="00C65616"/>
    <w:rsid w:val="00C7188F"/>
    <w:rsid w:val="00CA04E3"/>
    <w:rsid w:val="00CA1EE8"/>
    <w:rsid w:val="00D46D09"/>
    <w:rsid w:val="00D54424"/>
    <w:rsid w:val="00D65725"/>
    <w:rsid w:val="00D9626D"/>
    <w:rsid w:val="00DE2E2F"/>
    <w:rsid w:val="00E829DC"/>
    <w:rsid w:val="00E84CB0"/>
    <w:rsid w:val="00E912FB"/>
    <w:rsid w:val="00EF5C9D"/>
    <w:rsid w:val="00F21998"/>
    <w:rsid w:val="00F34957"/>
    <w:rsid w:val="00F41041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7BC96"/>
  <w15:chartTrackingRefBased/>
  <w15:docId w15:val="{87E53402-976D-45EE-8059-FD433D88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2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26D"/>
  </w:style>
  <w:style w:type="paragraph" w:styleId="Footer">
    <w:name w:val="footer"/>
    <w:basedOn w:val="Normal"/>
    <w:link w:val="FooterChar"/>
    <w:uiPriority w:val="99"/>
    <w:unhideWhenUsed/>
    <w:rsid w:val="00D9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26D"/>
  </w:style>
  <w:style w:type="character" w:styleId="LineNumber">
    <w:name w:val="line number"/>
    <w:basedOn w:val="DefaultParagraphFont"/>
    <w:uiPriority w:val="99"/>
    <w:semiHidden/>
    <w:unhideWhenUsed/>
    <w:rsid w:val="005B0D54"/>
  </w:style>
  <w:style w:type="paragraph" w:styleId="FootnoteText">
    <w:name w:val="footnote text"/>
    <w:basedOn w:val="Normal"/>
    <w:link w:val="FootnoteTextChar"/>
    <w:uiPriority w:val="99"/>
    <w:semiHidden/>
    <w:unhideWhenUsed/>
    <w:rsid w:val="005F1E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E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1EC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164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7F63-535B-4EAF-BD78-E5120356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Lynch</dc:creator>
  <cp:keywords/>
  <dc:description/>
  <cp:lastModifiedBy>Ally Lynch</cp:lastModifiedBy>
  <cp:revision>2</cp:revision>
  <dcterms:created xsi:type="dcterms:W3CDTF">2024-07-25T13:34:00Z</dcterms:created>
  <dcterms:modified xsi:type="dcterms:W3CDTF">2024-07-25T13:34:00Z</dcterms:modified>
</cp:coreProperties>
</file>